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138" w:rsidRPr="007E4523" w:rsidRDefault="00251138" w:rsidP="00251138">
      <w:pPr>
        <w:ind w:left="1843" w:right="991"/>
        <w:jc w:val="both"/>
        <w:rPr>
          <w:rFonts w:ascii="Tahoma" w:hAnsi="Tahoma" w:cs="Tahoma"/>
          <w:i/>
          <w:sz w:val="22"/>
          <w:szCs w:val="22"/>
        </w:rPr>
      </w:pPr>
      <w:r w:rsidRPr="007E4523">
        <w:rPr>
          <w:rFonts w:ascii="Tahoma" w:hAnsi="Tahoma" w:cs="Tahoma"/>
          <w:b/>
          <w:i/>
          <w:sz w:val="22"/>
          <w:szCs w:val="22"/>
        </w:rPr>
        <w:t>Sumilla:</w:t>
      </w:r>
      <w:r w:rsidRPr="007E4523">
        <w:rPr>
          <w:rFonts w:ascii="Tahoma" w:hAnsi="Tahoma" w:cs="Tahoma"/>
          <w:i/>
          <w:sz w:val="22"/>
          <w:szCs w:val="22"/>
        </w:rPr>
        <w:t xml:space="preserve"> “Es pasible de sanción el contratista que </w:t>
      </w:r>
      <w:r w:rsidR="00C906BF">
        <w:rPr>
          <w:rFonts w:ascii="Tahoma" w:hAnsi="Tahoma" w:cs="Tahoma"/>
          <w:i/>
          <w:sz w:val="22"/>
          <w:szCs w:val="22"/>
        </w:rPr>
        <w:t>suscribe contrato con la Entidad estando impedido para ello</w:t>
      </w:r>
      <w:r w:rsidRPr="007E4523">
        <w:rPr>
          <w:rFonts w:ascii="Tahoma" w:hAnsi="Tahoma" w:cs="Tahoma"/>
          <w:i/>
          <w:sz w:val="22"/>
          <w:szCs w:val="22"/>
        </w:rPr>
        <w:t>.”</w:t>
      </w:r>
    </w:p>
    <w:p w:rsidR="00251138" w:rsidRPr="007E4523" w:rsidRDefault="00251138" w:rsidP="00251138">
      <w:pPr>
        <w:ind w:left="1843" w:right="1558"/>
        <w:jc w:val="both"/>
        <w:rPr>
          <w:rFonts w:ascii="Tahoma" w:hAnsi="Tahoma" w:cs="Tahoma"/>
          <w:i/>
          <w:sz w:val="22"/>
          <w:szCs w:val="22"/>
        </w:rPr>
      </w:pPr>
    </w:p>
    <w:p w:rsidR="00251138" w:rsidRPr="007E4523" w:rsidRDefault="00251138" w:rsidP="00251138">
      <w:pPr>
        <w:pStyle w:val="Textoindependiente3"/>
        <w:spacing w:after="0"/>
        <w:ind w:left="5387"/>
        <w:jc w:val="both"/>
        <w:rPr>
          <w:rFonts w:ascii="Tahoma" w:hAnsi="Tahoma" w:cs="Tahoma"/>
          <w:b/>
          <w:sz w:val="22"/>
          <w:szCs w:val="22"/>
        </w:rPr>
      </w:pPr>
      <w:r w:rsidRPr="007E4523">
        <w:rPr>
          <w:rFonts w:ascii="Tahoma" w:hAnsi="Tahoma" w:cs="Tahoma"/>
          <w:b/>
          <w:sz w:val="22"/>
          <w:szCs w:val="22"/>
        </w:rPr>
        <w:t>Lima,</w:t>
      </w:r>
      <w:r w:rsidR="00547DAE">
        <w:rPr>
          <w:rFonts w:ascii="Tahoma" w:hAnsi="Tahoma" w:cs="Tahoma"/>
          <w:b/>
          <w:sz w:val="22"/>
          <w:szCs w:val="22"/>
        </w:rPr>
        <w:t xml:space="preserve"> 19 de Mayo de 2011</w:t>
      </w:r>
    </w:p>
    <w:p w:rsidR="00251138" w:rsidRPr="007E4523" w:rsidRDefault="00251138" w:rsidP="00251138">
      <w:pPr>
        <w:pStyle w:val="Textoindependiente3"/>
        <w:spacing w:after="0"/>
        <w:ind w:left="5387"/>
        <w:jc w:val="both"/>
        <w:rPr>
          <w:rFonts w:ascii="Tahoma" w:hAnsi="Tahoma" w:cs="Tahoma"/>
          <w:b/>
          <w:sz w:val="22"/>
          <w:szCs w:val="22"/>
        </w:rPr>
      </w:pPr>
    </w:p>
    <w:p w:rsidR="00251138" w:rsidRPr="007E4523" w:rsidRDefault="00251138" w:rsidP="001C1043">
      <w:pPr>
        <w:ind w:left="567"/>
        <w:contextualSpacing/>
        <w:jc w:val="both"/>
        <w:rPr>
          <w:rFonts w:ascii="Tahoma" w:hAnsi="Tahoma" w:cs="Tahoma"/>
          <w:sz w:val="22"/>
          <w:szCs w:val="22"/>
        </w:rPr>
      </w:pPr>
      <w:r w:rsidRPr="007E4523">
        <w:rPr>
          <w:rFonts w:ascii="Tahoma" w:hAnsi="Tahoma" w:cs="Tahoma"/>
          <w:b/>
          <w:sz w:val="22"/>
          <w:szCs w:val="22"/>
        </w:rPr>
        <w:t xml:space="preserve">Visto </w:t>
      </w:r>
      <w:r w:rsidRPr="007E4523">
        <w:rPr>
          <w:rFonts w:ascii="Tahoma" w:hAnsi="Tahoma" w:cs="Tahoma"/>
          <w:sz w:val="22"/>
          <w:szCs w:val="22"/>
        </w:rPr>
        <w:t xml:space="preserve">en sesión de </w:t>
      </w:r>
      <w:r w:rsidRPr="00DB3423">
        <w:rPr>
          <w:rFonts w:ascii="Tahoma" w:hAnsi="Tahoma" w:cs="Tahoma"/>
          <w:sz w:val="22"/>
          <w:szCs w:val="22"/>
        </w:rPr>
        <w:t xml:space="preserve">fecha </w:t>
      </w:r>
      <w:r w:rsidR="00DB3423">
        <w:rPr>
          <w:rFonts w:ascii="Tahoma" w:hAnsi="Tahoma" w:cs="Tahoma"/>
          <w:sz w:val="22"/>
          <w:szCs w:val="22"/>
        </w:rPr>
        <w:t>19</w:t>
      </w:r>
      <w:r w:rsidRPr="007E4523">
        <w:rPr>
          <w:rFonts w:ascii="Tahoma" w:hAnsi="Tahoma" w:cs="Tahoma"/>
          <w:sz w:val="22"/>
          <w:szCs w:val="22"/>
        </w:rPr>
        <w:t xml:space="preserve"> de mayo de 2011 la Primera Sala del Tribunal de Contrataciones del Estado el Expediente N° 1252-2010-TC; sobre el procedimiento administrativo sancionador iniciado contra el Consorcio C &amp; C, integrado por las empresas Jorge Napoleón Cubas Ruiz, Sewyz SRL, W. Carty SRL, C&amp;C Consul Ejec Contratistas Grles SRL, Construcciones Civiles y Portuarias S.A. e Ivotec Ingenieros SRL por haber contratado con el Estado, estando impedido para ello.</w:t>
      </w:r>
    </w:p>
    <w:p w:rsidR="00251138" w:rsidRPr="007E4523" w:rsidRDefault="00251138" w:rsidP="00251138">
      <w:pPr>
        <w:ind w:firstLine="567"/>
        <w:contextualSpacing/>
        <w:jc w:val="both"/>
        <w:rPr>
          <w:rFonts w:ascii="Tahoma" w:hAnsi="Tahoma" w:cs="Tahoma"/>
          <w:b/>
          <w:sz w:val="22"/>
          <w:szCs w:val="22"/>
          <w:lang w:val="es-ES_tradnl"/>
        </w:rPr>
      </w:pPr>
    </w:p>
    <w:p w:rsidR="00251138" w:rsidRPr="007E4523" w:rsidRDefault="00251138" w:rsidP="007E4523">
      <w:pPr>
        <w:pStyle w:val="Prrafodelista"/>
        <w:ind w:left="567"/>
        <w:rPr>
          <w:rFonts w:ascii="Tahoma" w:hAnsi="Tahoma" w:cs="Tahoma"/>
          <w:b/>
          <w:sz w:val="22"/>
          <w:szCs w:val="22"/>
        </w:rPr>
      </w:pPr>
      <w:r w:rsidRPr="007E4523">
        <w:rPr>
          <w:rFonts w:ascii="Tahoma" w:hAnsi="Tahoma" w:cs="Tahoma"/>
          <w:b/>
          <w:sz w:val="22"/>
          <w:szCs w:val="22"/>
        </w:rPr>
        <w:t>ANTECEDENTES:</w:t>
      </w:r>
    </w:p>
    <w:p w:rsidR="00251138" w:rsidRPr="007E4523" w:rsidRDefault="00251138" w:rsidP="00251138">
      <w:pPr>
        <w:jc w:val="both"/>
        <w:rPr>
          <w:rFonts w:ascii="Tahoma" w:hAnsi="Tahoma" w:cs="Tahoma"/>
          <w:b/>
          <w:sz w:val="22"/>
          <w:szCs w:val="22"/>
          <w:lang w:eastAsia="es-PE"/>
        </w:rPr>
      </w:pPr>
    </w:p>
    <w:p w:rsidR="00251138" w:rsidRPr="007E4523" w:rsidRDefault="00251138" w:rsidP="00251138">
      <w:pPr>
        <w:numPr>
          <w:ilvl w:val="0"/>
          <w:numId w:val="2"/>
        </w:numPr>
        <w:tabs>
          <w:tab w:val="clear" w:pos="340"/>
          <w:tab w:val="num" w:pos="540"/>
          <w:tab w:val="num" w:pos="1035"/>
        </w:tabs>
        <w:ind w:left="540" w:hanging="540"/>
        <w:jc w:val="both"/>
        <w:rPr>
          <w:rFonts w:ascii="Tahoma" w:hAnsi="Tahoma" w:cs="Tahoma"/>
          <w:sz w:val="22"/>
          <w:szCs w:val="22"/>
        </w:rPr>
      </w:pPr>
      <w:r w:rsidRPr="007E4523">
        <w:rPr>
          <w:rFonts w:ascii="Tahoma" w:hAnsi="Tahoma" w:cs="Tahoma"/>
          <w:sz w:val="22"/>
          <w:szCs w:val="22"/>
        </w:rPr>
        <w:t>El 31 de agosto de 2010, el Gobierno Regional de Amazonas, en adelante la Entidad, suscribió  Contrato Nº 563-2010-GR AMAZONAS/GGR con el Consorcio C &amp; C, integrado por las empresas Jorge Napoleón Cubas Ruiz, Sewyz SRL, W. Carty SRL, C&amp;C Consul Ejec Contratistas Grles SRL, Construcciones Civiles y Portuarias S.A. e Ivotec Ingenieros SRL, en adelante el Contratista, en virtud del otorgamiento de la buena pro del proceso de Licitación Pública Nº 001-2010-GRA/CE, convocado para la ejecución de la obra: “Ampliación y mejoramiento de las Instituciones Educativas Secundarias e Integrales de la Región Amazonas” por un monto ascendente a S/. 20,247 523. 83 (Veinte millones doscientos cuarenta y siete mil quinientos veintitrés y  83/100 Nuevos Soles), incluido los impuestos de Ley.</w:t>
      </w:r>
    </w:p>
    <w:p w:rsidR="00251138" w:rsidRPr="007E4523" w:rsidRDefault="00251138" w:rsidP="00251138">
      <w:pPr>
        <w:tabs>
          <w:tab w:val="num" w:pos="1035"/>
        </w:tabs>
        <w:ind w:left="540"/>
        <w:jc w:val="both"/>
        <w:rPr>
          <w:rFonts w:ascii="Tahoma" w:hAnsi="Tahoma" w:cs="Tahoma"/>
          <w:sz w:val="22"/>
          <w:szCs w:val="22"/>
        </w:rPr>
      </w:pPr>
    </w:p>
    <w:p w:rsidR="00251138" w:rsidRPr="007E4523" w:rsidRDefault="00251138" w:rsidP="00251138">
      <w:pPr>
        <w:numPr>
          <w:ilvl w:val="0"/>
          <w:numId w:val="2"/>
        </w:numPr>
        <w:tabs>
          <w:tab w:val="clear" w:pos="340"/>
          <w:tab w:val="num" w:pos="540"/>
          <w:tab w:val="num" w:pos="1035"/>
        </w:tabs>
        <w:ind w:left="540" w:hanging="540"/>
        <w:jc w:val="both"/>
        <w:rPr>
          <w:rFonts w:ascii="Tahoma" w:hAnsi="Tahoma" w:cs="Tahoma"/>
          <w:sz w:val="22"/>
          <w:szCs w:val="22"/>
        </w:rPr>
      </w:pPr>
      <w:r w:rsidRPr="007E4523">
        <w:rPr>
          <w:rFonts w:ascii="Tahoma" w:hAnsi="Tahoma" w:cs="Tahoma"/>
          <w:sz w:val="22"/>
          <w:szCs w:val="22"/>
        </w:rPr>
        <w:t>El 15 de setiembre de 2010, la Entidad, mediante Oficio Nº 611-2010-GRAMAZONAS/Pr puso en conocimiento de este Tribunal de Contrataciones del Estado, en lo sucesivo, el Tribunal, que uno de los consorciados, la empresa Ivotec Ingenieros SRL habría incurrido en la causal de infracción tipificada en el inciso d) del numeral 1 del artículo 237 del Reglamento de la Ley de Contrataciones del Estado, aprobado mediante Decreto Supremo Nº 184-2008-EF, toda vez que contrató con el Estado estando impedidos para ello, de acuerdo a lo previsto en el artículo 10 de la Ley.</w:t>
      </w:r>
    </w:p>
    <w:p w:rsidR="00251138" w:rsidRPr="007E4523" w:rsidRDefault="00251138" w:rsidP="00251138">
      <w:pPr>
        <w:pStyle w:val="Prrafodelista"/>
        <w:jc w:val="both"/>
        <w:rPr>
          <w:rFonts w:ascii="Tahoma" w:hAnsi="Tahoma" w:cs="Tahoma"/>
          <w:sz w:val="22"/>
          <w:szCs w:val="22"/>
        </w:rPr>
      </w:pPr>
    </w:p>
    <w:p w:rsidR="00251138" w:rsidRPr="007E4523" w:rsidRDefault="00251138" w:rsidP="00251138">
      <w:pPr>
        <w:numPr>
          <w:ilvl w:val="0"/>
          <w:numId w:val="2"/>
        </w:numPr>
        <w:tabs>
          <w:tab w:val="clear" w:pos="340"/>
          <w:tab w:val="num" w:pos="540"/>
          <w:tab w:val="num" w:pos="1035"/>
        </w:tabs>
        <w:ind w:left="540" w:hanging="540"/>
        <w:jc w:val="both"/>
        <w:rPr>
          <w:rFonts w:ascii="Tahoma" w:hAnsi="Tahoma" w:cs="Tahoma"/>
          <w:sz w:val="22"/>
          <w:szCs w:val="22"/>
        </w:rPr>
      </w:pPr>
      <w:r w:rsidRPr="007E4523">
        <w:rPr>
          <w:rFonts w:ascii="Tahoma" w:hAnsi="Tahoma" w:cs="Tahoma"/>
          <w:sz w:val="22"/>
          <w:szCs w:val="22"/>
        </w:rPr>
        <w:t>En atención de dicho escrito, mediante decreto de fecha 20 de setiembre de 2010, la Secretaría del Tribunal solicitó a la Entidad cumpla con subsanar su comunicación debiendo remitir un informe técnico legal se su asesoría sobre la procedencia y presunta responsabilidad, así como indicar si la controversia había sido sometida a procedimiento arbitral u otro mecanismo de solución de conflictos, y de ser el caso adjuntar la demanda arbitral y el Acta de Instalación Arbitral.</w:t>
      </w:r>
    </w:p>
    <w:p w:rsidR="00251138" w:rsidRPr="007E4523" w:rsidRDefault="00251138" w:rsidP="00251138">
      <w:pPr>
        <w:pStyle w:val="Prrafodelista"/>
        <w:rPr>
          <w:rFonts w:ascii="Tahoma" w:hAnsi="Tahoma" w:cs="Tahoma"/>
          <w:sz w:val="22"/>
          <w:szCs w:val="22"/>
          <w:lang w:eastAsia="es-PE"/>
        </w:rPr>
      </w:pPr>
    </w:p>
    <w:p w:rsidR="00251138" w:rsidRPr="007E4523" w:rsidRDefault="00251138" w:rsidP="00251138">
      <w:pPr>
        <w:tabs>
          <w:tab w:val="num" w:pos="1035"/>
        </w:tabs>
        <w:ind w:left="540"/>
        <w:jc w:val="both"/>
        <w:rPr>
          <w:rFonts w:ascii="Tahoma" w:hAnsi="Tahoma" w:cs="Tahoma"/>
          <w:sz w:val="22"/>
          <w:szCs w:val="22"/>
        </w:rPr>
      </w:pPr>
      <w:r w:rsidRPr="007E4523">
        <w:rPr>
          <w:rFonts w:ascii="Tahoma" w:hAnsi="Tahoma" w:cs="Tahoma"/>
          <w:sz w:val="22"/>
          <w:szCs w:val="22"/>
          <w:lang w:eastAsia="es-PE"/>
        </w:rPr>
        <w:lastRenderedPageBreak/>
        <w:t>Conforme a ello, se otorgó a la Entidad un plazo de diez (10) días hábiles a fin de remitir la información solicitada.</w:t>
      </w:r>
    </w:p>
    <w:p w:rsidR="00251138" w:rsidRPr="007E4523" w:rsidRDefault="00251138" w:rsidP="00251138">
      <w:pPr>
        <w:ind w:left="567"/>
        <w:jc w:val="both"/>
        <w:rPr>
          <w:rFonts w:ascii="Tahoma" w:hAnsi="Tahoma" w:cs="Tahoma"/>
          <w:sz w:val="22"/>
          <w:szCs w:val="22"/>
          <w:lang w:eastAsia="es-PE"/>
        </w:rPr>
      </w:pPr>
    </w:p>
    <w:p w:rsidR="00251138" w:rsidRDefault="00251138" w:rsidP="00251138">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E4523">
        <w:rPr>
          <w:rFonts w:ascii="Tahoma" w:hAnsi="Tahoma" w:cs="Tahoma"/>
          <w:sz w:val="22"/>
          <w:szCs w:val="22"/>
        </w:rPr>
        <w:t xml:space="preserve">El 07 de diciembre de 2010, la Entidad remitió lo solicitado adjuntando el Informe Nº 026-2010-GRA/CE-SNV que señaló que el contrato referido fue suscrito el 31 de agosto de 2010, (dicha copia se encuentra en el folio 046 del expediente), y que la empresa Ivotec Ingenieros SRL quedó inhabilitada para contratar con el Estado, </w:t>
      </w:r>
      <w:r w:rsidRPr="007E4523">
        <w:rPr>
          <w:rFonts w:ascii="Tahoma" w:hAnsi="Tahoma" w:cs="Tahoma"/>
          <w:sz w:val="22"/>
          <w:szCs w:val="22"/>
          <w:u w:val="single"/>
        </w:rPr>
        <w:t xml:space="preserve">a partir del 02 de junio de 2010 </w:t>
      </w:r>
      <w:r w:rsidRPr="007E4523">
        <w:rPr>
          <w:rFonts w:ascii="Tahoma" w:hAnsi="Tahoma" w:cs="Tahoma"/>
          <w:sz w:val="22"/>
          <w:szCs w:val="22"/>
        </w:rPr>
        <w:t>y por un plazo de 13 meses, en virtud de la Resolución Nº 1047-2010-TC-S3 de fecha 28 de mayo de 2010, la misma que declaró infundado el recurso de reconsideración interpuesto contra la Resolución Nº 766-2010-TC-S3 de fecha 26 de abril de 2010, al haberse determinado su responsabilidad en la comisión de la infracción tipificada en el literal a) del numeral 1) del artículo 237 del Reglamento de la Ley de Contrataciones del Estado.</w:t>
      </w:r>
    </w:p>
    <w:p w:rsidR="001C1043" w:rsidRPr="007E4523" w:rsidRDefault="001C1043" w:rsidP="001C1043">
      <w:pPr>
        <w:pStyle w:val="Prrafodelista"/>
        <w:widowControl/>
        <w:suppressAutoHyphens w:val="0"/>
        <w:ind w:left="567"/>
        <w:contextualSpacing/>
        <w:jc w:val="both"/>
        <w:rPr>
          <w:rFonts w:ascii="Tahoma" w:hAnsi="Tahoma" w:cs="Tahoma"/>
          <w:sz w:val="22"/>
          <w:szCs w:val="22"/>
        </w:rPr>
      </w:pPr>
    </w:p>
    <w:p w:rsidR="00251138" w:rsidRPr="007E4523" w:rsidRDefault="00251138" w:rsidP="00251138">
      <w:pPr>
        <w:pStyle w:val="Prrafodelista"/>
        <w:ind w:left="567"/>
        <w:contextualSpacing/>
        <w:jc w:val="both"/>
        <w:rPr>
          <w:rFonts w:ascii="Tahoma" w:hAnsi="Tahoma" w:cs="Tahoma"/>
          <w:sz w:val="22"/>
          <w:szCs w:val="22"/>
        </w:rPr>
      </w:pPr>
      <w:r w:rsidRPr="007E4523">
        <w:rPr>
          <w:rFonts w:ascii="Tahoma" w:hAnsi="Tahoma" w:cs="Tahoma"/>
          <w:sz w:val="22"/>
          <w:szCs w:val="22"/>
        </w:rPr>
        <w:t>En ese sentido, señala que el Consorcio sorprendió a la autoridad administrativa al suscribir el Contrato referido y presentar como parte de la documentación para la firma del contrato la Constancia de estar vigente en el RNP de fecha 01/06/2010,  cuando conocía que a partir del día siguiente, es decir, del 02/06/2010 ya se encontraba impedida de contratar con el Estado. En ese sentido, la Entidad advirtió que se encontraba impedida de contratar con el Estado, al tratar de registrar inútilmente en el SEACE el Contrato suscrito.</w:t>
      </w:r>
    </w:p>
    <w:p w:rsidR="00251138" w:rsidRPr="007E4523" w:rsidRDefault="00251138" w:rsidP="00251138">
      <w:pPr>
        <w:pStyle w:val="Prrafodelista"/>
        <w:ind w:left="567"/>
        <w:contextualSpacing/>
        <w:jc w:val="both"/>
        <w:rPr>
          <w:rFonts w:ascii="Tahoma" w:hAnsi="Tahoma" w:cs="Tahoma"/>
          <w:sz w:val="22"/>
          <w:szCs w:val="22"/>
        </w:rPr>
      </w:pPr>
    </w:p>
    <w:p w:rsidR="00251138" w:rsidRPr="007E4523" w:rsidRDefault="00251138" w:rsidP="00251138">
      <w:pPr>
        <w:pStyle w:val="Prrafodelista"/>
        <w:ind w:left="567"/>
        <w:contextualSpacing/>
        <w:jc w:val="both"/>
        <w:rPr>
          <w:rFonts w:ascii="Tahoma" w:hAnsi="Tahoma" w:cs="Tahoma"/>
          <w:sz w:val="22"/>
          <w:szCs w:val="22"/>
        </w:rPr>
      </w:pPr>
      <w:r w:rsidRPr="007E4523">
        <w:rPr>
          <w:rFonts w:ascii="Tahoma" w:hAnsi="Tahoma" w:cs="Tahoma"/>
          <w:sz w:val="22"/>
          <w:szCs w:val="22"/>
        </w:rPr>
        <w:t>Por lo tanto, la Entidad declaró de oficio la nulidad del Contrato Nº 563-2010-GR AMAZONAS/GGR.</w:t>
      </w:r>
    </w:p>
    <w:p w:rsidR="00251138" w:rsidRPr="007E4523" w:rsidRDefault="00251138" w:rsidP="00251138">
      <w:pPr>
        <w:contextualSpacing/>
        <w:jc w:val="both"/>
        <w:rPr>
          <w:rFonts w:ascii="Tahoma" w:hAnsi="Tahoma" w:cs="Tahoma"/>
          <w:sz w:val="22"/>
          <w:szCs w:val="22"/>
        </w:rPr>
      </w:pPr>
    </w:p>
    <w:p w:rsidR="00251138" w:rsidRPr="007E4523" w:rsidRDefault="00251138" w:rsidP="00251138">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E4523">
        <w:rPr>
          <w:rFonts w:ascii="Tahoma" w:hAnsi="Tahoma" w:cs="Tahoma"/>
          <w:sz w:val="22"/>
          <w:szCs w:val="22"/>
        </w:rPr>
        <w:t>De otro lado, la Entidad adjuntó a su comunicación el Acta de Instalación Arbitral de fecha 18 de noviembre de 2010.</w:t>
      </w:r>
    </w:p>
    <w:p w:rsidR="00251138" w:rsidRPr="007E4523" w:rsidRDefault="00251138" w:rsidP="00251138">
      <w:pPr>
        <w:pStyle w:val="Prrafodelista"/>
        <w:ind w:left="567"/>
        <w:contextualSpacing/>
        <w:jc w:val="both"/>
        <w:rPr>
          <w:rFonts w:ascii="Tahoma" w:hAnsi="Tahoma" w:cs="Tahoma"/>
          <w:sz w:val="22"/>
          <w:szCs w:val="22"/>
        </w:rPr>
      </w:pPr>
    </w:p>
    <w:p w:rsidR="00251138" w:rsidRPr="007E4523" w:rsidRDefault="00251138" w:rsidP="00251138">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E4523">
        <w:rPr>
          <w:rFonts w:ascii="Tahoma" w:hAnsi="Tahoma" w:cs="Tahoma"/>
          <w:sz w:val="22"/>
          <w:szCs w:val="22"/>
        </w:rPr>
        <w:t>En vista de ello, la Secretaría del Tribunal inició procedimiento administrativo sancionador contra la empresas conformantes del Consorcio C&amp;C, por la causal de infracción contenida en el literal d) del numeral 1 del artículo 237 del Reglamento, otorgándoles un plazo de diez (10) días para que presenten sus descargos, bajo apercibimiento de resolver con las documentación obrante en el expediente.</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E4523">
        <w:rPr>
          <w:rFonts w:ascii="Tahoma" w:hAnsi="Tahoma" w:cs="Tahoma"/>
          <w:sz w:val="22"/>
          <w:szCs w:val="22"/>
        </w:rPr>
        <w:t>El 12 de enero de 2011, la empresa conformante del Consorcio, Construcciones Civiles y Porturias S.A. remitió a este Tribunal sus descargos señalando no haber cometido infracción alguna, teniendo en cuenta que la infracción en el presente caso puede ser individualizada, por lo tanto es imputable solo a la empresa Ivotec Ingenieros SRL, debiéndose aplicar sólo a ésta la sanción a que hubiera lugar.</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E4523">
        <w:rPr>
          <w:rFonts w:ascii="Tahoma" w:hAnsi="Tahoma" w:cs="Tahoma"/>
          <w:sz w:val="22"/>
          <w:szCs w:val="22"/>
        </w:rPr>
        <w:t>Mediante decreto del 17 de enero de 2011 se tuvo por apersonada a la empresa Construcciones Civiles y Portuarias S.A.</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E4523">
        <w:rPr>
          <w:rFonts w:ascii="Tahoma" w:hAnsi="Tahoma" w:cs="Tahoma"/>
          <w:sz w:val="22"/>
          <w:szCs w:val="22"/>
        </w:rPr>
        <w:t>El 14 de enero de 2011, Cubas Ruiz Jorge Napoleón, conformante del Consorcio remitió  a este Tribunal sus descargos señalando que el proceso sancionador deberá suspenderse teniendo en cuenta la existencia de un proceso arbitral pendiente.</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E4523">
        <w:rPr>
          <w:rFonts w:ascii="Tahoma" w:hAnsi="Tahoma" w:cs="Tahoma"/>
          <w:sz w:val="22"/>
          <w:szCs w:val="22"/>
        </w:rPr>
        <w:t>Mediante decreto del 18 de enero de 2011 se tuvo por apersonada a Cubas Ruiz Jorge Napoleón.</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E4523">
        <w:rPr>
          <w:rFonts w:ascii="Tahoma" w:hAnsi="Tahoma" w:cs="Tahoma"/>
          <w:sz w:val="22"/>
          <w:szCs w:val="22"/>
        </w:rPr>
        <w:t>El 17 de enero de 2011, C&amp;C Consultores Ejecutores Contratistas Generales SRL, conformante del Consorcio remitió  a este Tribunal sus descargos señalando que el proceso sancionador deberá suspenderse teniendo en cuenta la existencia de un proceso arbitral pendiente.</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E4523">
        <w:rPr>
          <w:rFonts w:ascii="Tahoma" w:hAnsi="Tahoma" w:cs="Tahoma"/>
          <w:sz w:val="22"/>
          <w:szCs w:val="22"/>
        </w:rPr>
        <w:t>Mediante decreto del 19 de enero de 2011 se tuvo por apersonada a C&amp;C Consultores Ejecutores Contratistas Generales SRL.</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E4523">
        <w:rPr>
          <w:rFonts w:ascii="Tahoma" w:hAnsi="Tahoma" w:cs="Tahoma"/>
          <w:sz w:val="22"/>
          <w:szCs w:val="22"/>
        </w:rPr>
        <w:t>El 17 de enero de 2011, la empresa Ivotec Ingenieros SRL, conformante del Consorcio remitió  a este Tribunal sus descargos señalando:</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Prrafodelista"/>
        <w:widowControl/>
        <w:numPr>
          <w:ilvl w:val="0"/>
          <w:numId w:val="8"/>
        </w:numPr>
        <w:suppressAutoHyphens w:val="0"/>
        <w:contextualSpacing/>
        <w:jc w:val="both"/>
        <w:rPr>
          <w:rFonts w:ascii="Tahoma" w:hAnsi="Tahoma" w:cs="Tahoma"/>
          <w:sz w:val="22"/>
          <w:szCs w:val="22"/>
        </w:rPr>
      </w:pPr>
      <w:r w:rsidRPr="007E4523">
        <w:rPr>
          <w:rFonts w:ascii="Tahoma" w:hAnsi="Tahoma" w:cs="Tahoma"/>
          <w:sz w:val="22"/>
          <w:szCs w:val="22"/>
        </w:rPr>
        <w:t>Que reconoce que su representada fue sancionada mediante Resolución Nº 766-2010-TC-S3.</w:t>
      </w:r>
    </w:p>
    <w:p w:rsidR="00251138" w:rsidRPr="007E4523" w:rsidRDefault="00251138" w:rsidP="00251138">
      <w:pPr>
        <w:pStyle w:val="Prrafodelista"/>
        <w:widowControl/>
        <w:numPr>
          <w:ilvl w:val="0"/>
          <w:numId w:val="8"/>
        </w:numPr>
        <w:suppressAutoHyphens w:val="0"/>
        <w:contextualSpacing/>
        <w:jc w:val="both"/>
        <w:rPr>
          <w:rFonts w:ascii="Tahoma" w:hAnsi="Tahoma" w:cs="Tahoma"/>
          <w:sz w:val="22"/>
          <w:szCs w:val="22"/>
        </w:rPr>
      </w:pPr>
      <w:r w:rsidRPr="007E4523">
        <w:rPr>
          <w:rFonts w:ascii="Tahoma" w:hAnsi="Tahoma" w:cs="Tahoma"/>
          <w:sz w:val="22"/>
          <w:szCs w:val="22"/>
        </w:rPr>
        <w:t>Que reconoce haber interpuesto recurso de reconsideración contra dicha Resolución.</w:t>
      </w:r>
    </w:p>
    <w:p w:rsidR="00251138" w:rsidRPr="007E4523" w:rsidRDefault="00251138" w:rsidP="00251138">
      <w:pPr>
        <w:pStyle w:val="Prrafodelista"/>
        <w:widowControl/>
        <w:numPr>
          <w:ilvl w:val="0"/>
          <w:numId w:val="8"/>
        </w:numPr>
        <w:suppressAutoHyphens w:val="0"/>
        <w:contextualSpacing/>
        <w:jc w:val="both"/>
        <w:rPr>
          <w:rFonts w:ascii="Tahoma" w:hAnsi="Tahoma" w:cs="Tahoma"/>
          <w:sz w:val="22"/>
          <w:szCs w:val="22"/>
        </w:rPr>
      </w:pPr>
      <w:r w:rsidRPr="007E4523">
        <w:rPr>
          <w:rFonts w:ascii="Tahoma" w:hAnsi="Tahoma" w:cs="Tahoma"/>
          <w:sz w:val="22"/>
          <w:szCs w:val="22"/>
        </w:rPr>
        <w:t>Que solicitó al OSCE su Constancia de no estar inhabilitada antes de que se resolviera dicho recurso de reconsideración, y que como resulta lógico hasta ese momento no tenían conocimiento cierto del resultado de dicho recurso.</w:t>
      </w:r>
    </w:p>
    <w:p w:rsidR="00251138" w:rsidRPr="007E4523" w:rsidRDefault="00251138" w:rsidP="00251138">
      <w:pPr>
        <w:pStyle w:val="Prrafodelista"/>
        <w:widowControl/>
        <w:numPr>
          <w:ilvl w:val="0"/>
          <w:numId w:val="8"/>
        </w:numPr>
        <w:suppressAutoHyphens w:val="0"/>
        <w:contextualSpacing/>
        <w:jc w:val="both"/>
        <w:rPr>
          <w:rFonts w:ascii="Tahoma" w:hAnsi="Tahoma" w:cs="Tahoma"/>
          <w:sz w:val="22"/>
          <w:szCs w:val="22"/>
        </w:rPr>
      </w:pPr>
      <w:r w:rsidRPr="007E4523">
        <w:rPr>
          <w:rFonts w:ascii="Tahoma" w:hAnsi="Tahoma" w:cs="Tahoma"/>
          <w:sz w:val="22"/>
          <w:szCs w:val="22"/>
        </w:rPr>
        <w:t>Que estiman que la Entidad tuvo una mala percepción de los hechos, y que al momento de consorciarse para el presente proceso de selección ella no se encontraba inhabilitada, y que ello condice a una situación posterior, por lo que el articulo 9 y 10 de la Ley de Contrataciones del Estado se refieren solo y únicamente a los requisitos para ser postor.</w:t>
      </w:r>
    </w:p>
    <w:p w:rsidR="00251138" w:rsidRPr="007E4523" w:rsidRDefault="00251138" w:rsidP="00251138">
      <w:pPr>
        <w:pStyle w:val="Prrafodelista"/>
        <w:widowControl/>
        <w:numPr>
          <w:ilvl w:val="0"/>
          <w:numId w:val="8"/>
        </w:numPr>
        <w:suppressAutoHyphens w:val="0"/>
        <w:contextualSpacing/>
        <w:jc w:val="both"/>
        <w:rPr>
          <w:rFonts w:ascii="Tahoma" w:hAnsi="Tahoma" w:cs="Tahoma"/>
          <w:sz w:val="22"/>
          <w:szCs w:val="22"/>
        </w:rPr>
      </w:pPr>
      <w:r w:rsidRPr="007E4523">
        <w:rPr>
          <w:rFonts w:ascii="Tahoma" w:hAnsi="Tahoma" w:cs="Tahoma"/>
          <w:sz w:val="22"/>
          <w:szCs w:val="22"/>
        </w:rPr>
        <w:t>Que promovió el arbitraje correspondiente contra la Resolución Ejecutiva Regional Nº 458-2010-GOBIERNO REGIONAL DE AMAZONAS/PR que declaró la nulidad del Contrato Nº 563-2010-GR AMAZONAS/GGR.</w:t>
      </w:r>
    </w:p>
    <w:p w:rsidR="00251138" w:rsidRPr="007E4523" w:rsidRDefault="00251138" w:rsidP="00251138">
      <w:pPr>
        <w:pStyle w:val="Prrafodelista"/>
        <w:ind w:left="927"/>
        <w:contextualSpacing/>
        <w:jc w:val="both"/>
        <w:rPr>
          <w:rFonts w:ascii="Tahoma" w:hAnsi="Tahoma" w:cs="Tahoma"/>
          <w:sz w:val="22"/>
          <w:szCs w:val="22"/>
        </w:rPr>
      </w:pPr>
    </w:p>
    <w:p w:rsidR="00251138" w:rsidRPr="007E4523" w:rsidRDefault="00251138" w:rsidP="00251138">
      <w:pPr>
        <w:pStyle w:val="Prrafodelista"/>
        <w:widowControl/>
        <w:numPr>
          <w:ilvl w:val="0"/>
          <w:numId w:val="2"/>
        </w:numPr>
        <w:tabs>
          <w:tab w:val="clear" w:pos="340"/>
          <w:tab w:val="num" w:pos="567"/>
        </w:tabs>
        <w:suppressAutoHyphens w:val="0"/>
        <w:ind w:left="567" w:hanging="567"/>
        <w:contextualSpacing/>
        <w:jc w:val="both"/>
        <w:rPr>
          <w:rFonts w:ascii="Tahoma" w:hAnsi="Tahoma" w:cs="Tahoma"/>
          <w:sz w:val="22"/>
          <w:szCs w:val="22"/>
        </w:rPr>
      </w:pPr>
      <w:r w:rsidRPr="007E4523">
        <w:rPr>
          <w:rFonts w:ascii="Tahoma" w:hAnsi="Tahoma" w:cs="Tahoma"/>
          <w:sz w:val="22"/>
          <w:szCs w:val="22"/>
        </w:rPr>
        <w:t>Mediante decreto del 19 de enero de 2011 se tuvo por apersonada a Ivotec Ingenieros SRL.</w:t>
      </w:r>
    </w:p>
    <w:p w:rsidR="00251138" w:rsidRPr="007E4523" w:rsidRDefault="00251138" w:rsidP="00251138">
      <w:pPr>
        <w:pStyle w:val="Prrafodelista"/>
        <w:ind w:left="567"/>
        <w:contextualSpacing/>
        <w:jc w:val="both"/>
        <w:rPr>
          <w:rFonts w:ascii="Tahoma" w:hAnsi="Tahoma" w:cs="Tahoma"/>
          <w:sz w:val="22"/>
          <w:szCs w:val="22"/>
        </w:rPr>
      </w:pPr>
    </w:p>
    <w:p w:rsidR="00251138" w:rsidRPr="007E4523" w:rsidRDefault="00251138" w:rsidP="00251138">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E4523">
        <w:rPr>
          <w:rFonts w:ascii="Tahoma" w:hAnsi="Tahoma" w:cs="Tahoma"/>
          <w:sz w:val="22"/>
          <w:szCs w:val="22"/>
        </w:rPr>
        <w:t>El 14 de enero de 2011, la empresa W. Carty SRL y la empresa Sewyz SRL, conformantes del Consorcio remitieron  a este Tribunal sus descargos señalando que el proceso sancionador deberá suspenderse teniendo en cuenta la existencia de un proceso arbitral pendiente.</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Prrafodelista"/>
        <w:widowControl/>
        <w:numPr>
          <w:ilvl w:val="0"/>
          <w:numId w:val="2"/>
        </w:numPr>
        <w:tabs>
          <w:tab w:val="clear" w:pos="340"/>
          <w:tab w:val="num" w:pos="567"/>
        </w:tabs>
        <w:suppressAutoHyphens w:val="0"/>
        <w:ind w:left="567" w:hanging="567"/>
        <w:contextualSpacing/>
        <w:jc w:val="both"/>
        <w:rPr>
          <w:rFonts w:ascii="Tahoma" w:hAnsi="Tahoma" w:cs="Tahoma"/>
          <w:sz w:val="22"/>
          <w:szCs w:val="22"/>
        </w:rPr>
      </w:pPr>
      <w:r w:rsidRPr="007E4523">
        <w:rPr>
          <w:rFonts w:ascii="Tahoma" w:hAnsi="Tahoma" w:cs="Tahoma"/>
          <w:sz w:val="22"/>
          <w:szCs w:val="22"/>
        </w:rPr>
        <w:lastRenderedPageBreak/>
        <w:t>Mediante decreto del 21 de enero de 2011 se tuvo por apersonadas las empresas W. Carty SRL y Sewyz SRL, y se remitió el expediente a la Primera Sala del Tribunal para que resuelva.</w:t>
      </w:r>
    </w:p>
    <w:p w:rsidR="00251138" w:rsidRPr="007E4523" w:rsidRDefault="00251138" w:rsidP="00251138">
      <w:pPr>
        <w:contextualSpacing/>
        <w:jc w:val="both"/>
        <w:rPr>
          <w:rFonts w:ascii="Tahoma" w:hAnsi="Tahoma" w:cs="Tahoma"/>
          <w:sz w:val="22"/>
          <w:szCs w:val="22"/>
          <w:lang w:val="es-ES_tradnl"/>
        </w:rPr>
      </w:pPr>
    </w:p>
    <w:p w:rsidR="00251138" w:rsidRPr="007E4523" w:rsidRDefault="00251138" w:rsidP="007E4523">
      <w:pPr>
        <w:pStyle w:val="Prrafodelista"/>
        <w:ind w:left="567"/>
        <w:jc w:val="both"/>
        <w:rPr>
          <w:rFonts w:ascii="Tahoma" w:hAnsi="Tahoma" w:cs="Tahoma"/>
          <w:b/>
          <w:shadow/>
          <w:sz w:val="22"/>
          <w:szCs w:val="22"/>
        </w:rPr>
      </w:pPr>
      <w:r w:rsidRPr="007E4523">
        <w:rPr>
          <w:rFonts w:ascii="Tahoma" w:hAnsi="Tahoma" w:cs="Tahoma"/>
          <w:b/>
          <w:sz w:val="22"/>
          <w:szCs w:val="22"/>
        </w:rPr>
        <w:t>FUNDAMENTACIÓN:</w:t>
      </w:r>
    </w:p>
    <w:p w:rsidR="00251138" w:rsidRPr="007E4523" w:rsidRDefault="00251138" w:rsidP="00251138">
      <w:pPr>
        <w:pStyle w:val="Prrafodelista"/>
        <w:ind w:left="567"/>
        <w:jc w:val="both"/>
        <w:rPr>
          <w:rFonts w:ascii="Tahoma" w:hAnsi="Tahoma" w:cs="Tahoma"/>
          <w:b/>
          <w:shadow/>
          <w:sz w:val="22"/>
          <w:szCs w:val="22"/>
        </w:rPr>
      </w:pPr>
    </w:p>
    <w:p w:rsidR="00251138" w:rsidRPr="007E4523" w:rsidRDefault="00251138" w:rsidP="00251138">
      <w:pPr>
        <w:numPr>
          <w:ilvl w:val="0"/>
          <w:numId w:val="9"/>
        </w:numPr>
        <w:tabs>
          <w:tab w:val="clear" w:pos="360"/>
          <w:tab w:val="num" w:pos="567"/>
        </w:tabs>
        <w:ind w:left="567" w:hanging="567"/>
        <w:jc w:val="both"/>
        <w:rPr>
          <w:rFonts w:ascii="Tahoma" w:hAnsi="Tahoma" w:cs="Tahoma"/>
          <w:sz w:val="22"/>
          <w:szCs w:val="22"/>
          <w:lang w:eastAsia="es-PE"/>
        </w:rPr>
      </w:pPr>
      <w:r w:rsidRPr="007E4523">
        <w:rPr>
          <w:rFonts w:ascii="Tahoma" w:hAnsi="Tahoma" w:cs="Tahoma"/>
          <w:sz w:val="22"/>
          <w:szCs w:val="22"/>
        </w:rPr>
        <w:t>Es materia del presente procedimiento administrativo sancionador la supuesta responsabilidad del Contratista</w:t>
      </w:r>
      <w:r w:rsidRPr="007E4523">
        <w:rPr>
          <w:rFonts w:ascii="Tahoma" w:hAnsi="Tahoma" w:cs="Tahoma"/>
          <w:shadow/>
          <w:sz w:val="22"/>
          <w:szCs w:val="22"/>
        </w:rPr>
        <w:t xml:space="preserve"> </w:t>
      </w:r>
      <w:r w:rsidRPr="007E4523">
        <w:rPr>
          <w:rFonts w:ascii="Tahoma" w:hAnsi="Tahoma" w:cs="Tahoma"/>
          <w:sz w:val="22"/>
          <w:szCs w:val="22"/>
        </w:rPr>
        <w:t xml:space="preserve">por haber </w:t>
      </w:r>
      <w:r w:rsidRPr="007E4523">
        <w:rPr>
          <w:rFonts w:ascii="Tahoma" w:hAnsi="Tahoma" w:cs="Tahoma"/>
          <w:bCs/>
          <w:sz w:val="22"/>
          <w:szCs w:val="22"/>
        </w:rPr>
        <w:t xml:space="preserve">contratado </w:t>
      </w:r>
      <w:r w:rsidRPr="007E4523">
        <w:rPr>
          <w:rFonts w:ascii="Tahoma" w:hAnsi="Tahoma" w:cs="Tahoma"/>
          <w:sz w:val="22"/>
          <w:szCs w:val="22"/>
        </w:rPr>
        <w:t>con el Estado estando impedido para ello, de conformidad con lo establecido artículo 10º de la Ley</w:t>
      </w:r>
      <w:r w:rsidRPr="007E4523">
        <w:rPr>
          <w:rFonts w:ascii="Tahoma" w:hAnsi="Tahoma" w:cs="Tahoma"/>
          <w:bCs/>
          <w:sz w:val="22"/>
          <w:szCs w:val="22"/>
        </w:rPr>
        <w:t xml:space="preserve"> de Contrataciones del Estado, en lo sucesivo La Ley, </w:t>
      </w:r>
      <w:r w:rsidRPr="007E4523">
        <w:rPr>
          <w:rFonts w:ascii="Tahoma" w:hAnsi="Tahoma" w:cs="Tahoma"/>
          <w:sz w:val="22"/>
          <w:szCs w:val="22"/>
        </w:rPr>
        <w:t>norma aplicable al caso de autos.</w:t>
      </w:r>
    </w:p>
    <w:p w:rsidR="00251138" w:rsidRPr="007E4523" w:rsidRDefault="00251138" w:rsidP="00251138">
      <w:pPr>
        <w:ind w:left="567"/>
        <w:jc w:val="both"/>
        <w:rPr>
          <w:rFonts w:ascii="Tahoma" w:hAnsi="Tahoma" w:cs="Tahoma"/>
          <w:sz w:val="22"/>
          <w:szCs w:val="22"/>
          <w:lang w:eastAsia="es-PE"/>
        </w:rPr>
      </w:pPr>
      <w:r w:rsidRPr="007E4523">
        <w:rPr>
          <w:rFonts w:ascii="Tahoma" w:hAnsi="Tahoma" w:cs="Tahoma"/>
          <w:sz w:val="22"/>
          <w:szCs w:val="22"/>
        </w:rPr>
        <w:t xml:space="preserve"> </w:t>
      </w:r>
    </w:p>
    <w:p w:rsidR="00251138" w:rsidRPr="007E4523" w:rsidRDefault="00251138" w:rsidP="00251138">
      <w:pPr>
        <w:numPr>
          <w:ilvl w:val="0"/>
          <w:numId w:val="9"/>
        </w:numPr>
        <w:tabs>
          <w:tab w:val="clear" w:pos="360"/>
          <w:tab w:val="num" w:pos="567"/>
        </w:tabs>
        <w:ind w:left="567" w:hanging="567"/>
        <w:jc w:val="both"/>
        <w:rPr>
          <w:rFonts w:ascii="Tahoma" w:hAnsi="Tahoma" w:cs="Tahoma"/>
          <w:sz w:val="22"/>
          <w:szCs w:val="22"/>
          <w:lang w:eastAsia="es-PE"/>
        </w:rPr>
      </w:pPr>
      <w:r w:rsidRPr="007E4523">
        <w:rPr>
          <w:rFonts w:ascii="Tahoma" w:hAnsi="Tahoma" w:cs="Tahoma"/>
          <w:sz w:val="22"/>
          <w:szCs w:val="22"/>
        </w:rPr>
        <w:t>Con relación a ello, el literal d) del artículo 237º de El Reglamento establece que serán pasibles de sanción los proveedores, participantes, postores y/o contratistas que contraten con el Estado estando impedidos para ello, de acuerdo con lo que dispuso el artículo 10º de La Ley</w:t>
      </w:r>
      <w:r w:rsidRPr="007E4523">
        <w:rPr>
          <w:rStyle w:val="Refdenotaalpie"/>
          <w:rFonts w:ascii="Tahoma" w:hAnsi="Tahoma" w:cs="Tahoma"/>
          <w:sz w:val="22"/>
          <w:szCs w:val="22"/>
        </w:rPr>
        <w:footnoteReference w:id="2"/>
      </w:r>
      <w:r w:rsidRPr="007E4523">
        <w:rPr>
          <w:rFonts w:ascii="Tahoma" w:hAnsi="Tahoma" w:cs="Tahoma"/>
          <w:sz w:val="22"/>
          <w:szCs w:val="22"/>
        </w:rPr>
        <w:t>.</w:t>
      </w:r>
    </w:p>
    <w:p w:rsidR="00251138" w:rsidRPr="007E4523" w:rsidRDefault="00251138" w:rsidP="00251138">
      <w:pPr>
        <w:pStyle w:val="Prrafodelista"/>
        <w:rPr>
          <w:rFonts w:ascii="Tahoma" w:hAnsi="Tahoma" w:cs="Tahoma"/>
          <w:sz w:val="22"/>
          <w:szCs w:val="22"/>
        </w:rPr>
      </w:pPr>
    </w:p>
    <w:p w:rsidR="00251138" w:rsidRPr="007E4523" w:rsidRDefault="00251138" w:rsidP="00251138">
      <w:pPr>
        <w:numPr>
          <w:ilvl w:val="0"/>
          <w:numId w:val="9"/>
        </w:numPr>
        <w:tabs>
          <w:tab w:val="clear" w:pos="360"/>
          <w:tab w:val="num" w:pos="567"/>
        </w:tabs>
        <w:ind w:left="567" w:hanging="567"/>
        <w:jc w:val="both"/>
        <w:rPr>
          <w:rFonts w:ascii="Tahoma" w:hAnsi="Tahoma" w:cs="Tahoma"/>
          <w:b/>
          <w:sz w:val="22"/>
          <w:szCs w:val="22"/>
          <w:u w:val="single"/>
          <w:lang w:eastAsia="es-PE"/>
        </w:rPr>
      </w:pPr>
      <w:r w:rsidRPr="007E4523">
        <w:rPr>
          <w:rFonts w:ascii="Tahoma" w:hAnsi="Tahoma" w:cs="Tahoma"/>
          <w:sz w:val="22"/>
          <w:szCs w:val="22"/>
        </w:rPr>
        <w:t xml:space="preserve">Ahora bien, la imputación efectuada contra la Contratista radica en haber contratado con la Entidad pese a encontrarse incursa en el impedimento establecido en el literal j) del artículo 10º de la Ley, según el cual, están impedidos de ser </w:t>
      </w:r>
      <w:r w:rsidRPr="007E4523">
        <w:rPr>
          <w:rFonts w:ascii="Tahoma" w:hAnsi="Tahoma" w:cs="Tahoma"/>
          <w:b/>
          <w:sz w:val="22"/>
          <w:szCs w:val="22"/>
          <w:u w:val="single"/>
        </w:rPr>
        <w:t>participantes, postores y/o contratistas</w:t>
      </w:r>
      <w:r w:rsidRPr="007E4523">
        <w:rPr>
          <w:rFonts w:ascii="Tahoma" w:hAnsi="Tahoma" w:cs="Tahoma"/>
          <w:b/>
          <w:sz w:val="22"/>
          <w:szCs w:val="22"/>
        </w:rPr>
        <w:t xml:space="preserve"> </w:t>
      </w:r>
      <w:r w:rsidRPr="007E4523">
        <w:rPr>
          <w:rFonts w:ascii="Tahoma" w:hAnsi="Tahoma" w:cs="Tahoma"/>
          <w:sz w:val="22"/>
          <w:szCs w:val="22"/>
        </w:rPr>
        <w:t xml:space="preserve">las personas naturales o jurídicas que se encuentren sancionadas administrativamente con inhabilitación temporal o permanente en el ejercicio de sus derechos para participar en proceso de selección </w:t>
      </w:r>
      <w:r w:rsidRPr="007E4523">
        <w:rPr>
          <w:rFonts w:ascii="Tahoma" w:hAnsi="Tahoma" w:cs="Tahoma"/>
          <w:b/>
          <w:sz w:val="22"/>
          <w:szCs w:val="22"/>
          <w:u w:val="single"/>
        </w:rPr>
        <w:t>y para contratar con Entidades.</w:t>
      </w:r>
    </w:p>
    <w:p w:rsidR="00251138" w:rsidRPr="007E4523" w:rsidRDefault="00251138" w:rsidP="00251138">
      <w:pPr>
        <w:rPr>
          <w:rFonts w:ascii="Tahoma" w:hAnsi="Tahoma" w:cs="Tahoma"/>
          <w:sz w:val="22"/>
          <w:szCs w:val="22"/>
        </w:rPr>
      </w:pPr>
    </w:p>
    <w:p w:rsidR="00251138" w:rsidRPr="007E4523" w:rsidRDefault="00251138" w:rsidP="00251138">
      <w:pPr>
        <w:pStyle w:val="Textoindependiente"/>
        <w:widowControl w:val="0"/>
        <w:numPr>
          <w:ilvl w:val="0"/>
          <w:numId w:val="9"/>
        </w:numPr>
        <w:tabs>
          <w:tab w:val="clear" w:pos="360"/>
          <w:tab w:val="num" w:pos="709"/>
        </w:tabs>
        <w:suppressAutoHyphens/>
        <w:spacing w:after="0"/>
        <w:ind w:left="567" w:hanging="567"/>
        <w:jc w:val="both"/>
        <w:rPr>
          <w:rFonts w:ascii="Tahoma" w:hAnsi="Tahoma" w:cs="Tahoma"/>
          <w:sz w:val="22"/>
          <w:szCs w:val="22"/>
        </w:rPr>
      </w:pPr>
      <w:r w:rsidRPr="007E4523">
        <w:rPr>
          <w:rFonts w:ascii="Tahoma" w:hAnsi="Tahoma" w:cs="Tahoma"/>
          <w:sz w:val="22"/>
          <w:szCs w:val="22"/>
        </w:rPr>
        <w:t>En tal sentido, a fin de determinar si la denunciada habría incurrido en infracción, es necesario determinar si al momento de la suscripción del contrato, el Contratista se encontraba impedido conforme a las normas citadas.</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Textoindependiente"/>
        <w:widowControl w:val="0"/>
        <w:numPr>
          <w:ilvl w:val="0"/>
          <w:numId w:val="9"/>
        </w:numPr>
        <w:tabs>
          <w:tab w:val="clear" w:pos="360"/>
          <w:tab w:val="num" w:pos="567"/>
        </w:tabs>
        <w:suppressAutoHyphens/>
        <w:spacing w:after="0"/>
        <w:ind w:left="567" w:hanging="567"/>
        <w:contextualSpacing/>
        <w:jc w:val="both"/>
        <w:rPr>
          <w:rFonts w:ascii="Tahoma" w:hAnsi="Tahoma" w:cs="Tahoma"/>
          <w:sz w:val="22"/>
          <w:szCs w:val="22"/>
        </w:rPr>
      </w:pPr>
      <w:r w:rsidRPr="007E4523">
        <w:rPr>
          <w:rFonts w:ascii="Tahoma" w:hAnsi="Tahoma" w:cs="Tahoma"/>
          <w:sz w:val="22"/>
          <w:szCs w:val="22"/>
        </w:rPr>
        <w:t>En atención a ello, obra en el expediente a folios 033, copia del Contrato Nº 563-2010-GR AMAZONAS/GGR, donde se aprecia que la fecha de suscripción es del 31 de agosto de 2010.</w:t>
      </w:r>
    </w:p>
    <w:p w:rsidR="00251138" w:rsidRPr="007E4523" w:rsidRDefault="00251138" w:rsidP="00251138">
      <w:pPr>
        <w:pStyle w:val="Textoindependiente"/>
        <w:widowControl w:val="0"/>
        <w:suppressAutoHyphens/>
        <w:spacing w:after="0"/>
        <w:contextualSpacing/>
        <w:jc w:val="both"/>
        <w:rPr>
          <w:rFonts w:ascii="Tahoma" w:hAnsi="Tahoma" w:cs="Tahoma"/>
          <w:sz w:val="22"/>
          <w:szCs w:val="22"/>
        </w:rPr>
      </w:pPr>
    </w:p>
    <w:p w:rsidR="00251138" w:rsidRPr="007E4523" w:rsidRDefault="00251138" w:rsidP="00251138">
      <w:pPr>
        <w:pStyle w:val="Textoindependiente"/>
        <w:widowControl w:val="0"/>
        <w:numPr>
          <w:ilvl w:val="0"/>
          <w:numId w:val="9"/>
        </w:numPr>
        <w:tabs>
          <w:tab w:val="clear" w:pos="360"/>
          <w:tab w:val="num" w:pos="567"/>
        </w:tabs>
        <w:suppressAutoHyphens/>
        <w:spacing w:after="0"/>
        <w:ind w:left="567" w:hanging="567"/>
        <w:contextualSpacing/>
        <w:jc w:val="both"/>
        <w:rPr>
          <w:rFonts w:ascii="Tahoma" w:hAnsi="Tahoma" w:cs="Tahoma"/>
          <w:sz w:val="22"/>
          <w:szCs w:val="22"/>
        </w:rPr>
      </w:pPr>
      <w:r w:rsidRPr="007E4523">
        <w:rPr>
          <w:rFonts w:ascii="Tahoma" w:hAnsi="Tahoma" w:cs="Tahoma"/>
          <w:sz w:val="22"/>
          <w:szCs w:val="22"/>
        </w:rPr>
        <w:t xml:space="preserve">De otro lado, mediante Resolución Nº 1047-2010-TC-S3 de fecha 28 de mayo de 2010, se declaró infundado el recurso de reconsideración interpuesto contra la Resolución Nº 766-2010-TC-S3 de fecha 26 de abril de 2010, al haberse determinado la responsabilidad de la empresa Ivotec Ingenieros SRL en la </w:t>
      </w:r>
      <w:r w:rsidRPr="007E4523">
        <w:rPr>
          <w:rFonts w:ascii="Tahoma" w:hAnsi="Tahoma" w:cs="Tahoma"/>
          <w:sz w:val="22"/>
          <w:szCs w:val="22"/>
        </w:rPr>
        <w:lastRenderedPageBreak/>
        <w:t xml:space="preserve">comisión de la infracción tipificada en el literal a) del numeral 1) del artículo 237 del Reglamento de la Ley de Contrataciones del Estado, quedando inhabilitado para contratar con el Estado a partir del 02 de junio de 2010. </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Textoindependiente"/>
        <w:widowControl w:val="0"/>
        <w:numPr>
          <w:ilvl w:val="0"/>
          <w:numId w:val="9"/>
        </w:numPr>
        <w:tabs>
          <w:tab w:val="clear" w:pos="360"/>
          <w:tab w:val="num" w:pos="567"/>
        </w:tabs>
        <w:suppressAutoHyphens/>
        <w:spacing w:after="0"/>
        <w:ind w:left="567" w:hanging="567"/>
        <w:contextualSpacing/>
        <w:jc w:val="both"/>
        <w:rPr>
          <w:rFonts w:ascii="Tahoma" w:hAnsi="Tahoma" w:cs="Tahoma"/>
          <w:sz w:val="22"/>
          <w:szCs w:val="22"/>
        </w:rPr>
      </w:pPr>
      <w:r w:rsidRPr="007E4523">
        <w:rPr>
          <w:rFonts w:ascii="Tahoma" w:hAnsi="Tahoma" w:cs="Tahoma"/>
          <w:sz w:val="22"/>
          <w:szCs w:val="22"/>
        </w:rPr>
        <w:t>Por lo tanto y teniendo en cuenta lo expuesto, se ha podido verificar que el Contratista, a la fecha de la suscripción del Contrato Nº 563-2010-GR AMAZONAS/GGR, se encontraba impedido para contratar con el Estado, de acuerdo al artículo 10 de la Ley.</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Textoindependiente"/>
        <w:widowControl w:val="0"/>
        <w:numPr>
          <w:ilvl w:val="0"/>
          <w:numId w:val="9"/>
        </w:numPr>
        <w:tabs>
          <w:tab w:val="clear" w:pos="360"/>
          <w:tab w:val="num" w:pos="567"/>
        </w:tabs>
        <w:suppressAutoHyphens/>
        <w:spacing w:after="0"/>
        <w:ind w:left="567" w:hanging="567"/>
        <w:contextualSpacing/>
        <w:jc w:val="both"/>
        <w:rPr>
          <w:rFonts w:ascii="Tahoma" w:hAnsi="Tahoma" w:cs="Tahoma"/>
          <w:sz w:val="22"/>
          <w:szCs w:val="22"/>
        </w:rPr>
      </w:pPr>
      <w:r w:rsidRPr="007E4523">
        <w:rPr>
          <w:rFonts w:ascii="Tahoma" w:hAnsi="Tahoma" w:cs="Tahoma"/>
          <w:sz w:val="22"/>
          <w:szCs w:val="22"/>
        </w:rPr>
        <w:t>De otro lado, cabe pronunciarse respecto de lo señalado por el Contratista en su escrito de descargos, indicando que la controversia se encuentra sometida a proceso arbitral, por lo tanto que debe suspenderse el procedimiento administrativo sancionador.</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Textoindependiente"/>
        <w:widowControl w:val="0"/>
        <w:numPr>
          <w:ilvl w:val="0"/>
          <w:numId w:val="9"/>
        </w:numPr>
        <w:tabs>
          <w:tab w:val="clear" w:pos="360"/>
          <w:tab w:val="num" w:pos="567"/>
        </w:tabs>
        <w:suppressAutoHyphens/>
        <w:spacing w:after="0"/>
        <w:ind w:left="567" w:hanging="567"/>
        <w:contextualSpacing/>
        <w:jc w:val="both"/>
        <w:rPr>
          <w:rFonts w:ascii="Tahoma" w:hAnsi="Tahoma" w:cs="Tahoma"/>
          <w:sz w:val="22"/>
          <w:szCs w:val="22"/>
        </w:rPr>
      </w:pPr>
      <w:r w:rsidRPr="007E4523">
        <w:rPr>
          <w:rFonts w:ascii="Tahoma" w:hAnsi="Tahoma" w:cs="Tahoma"/>
          <w:sz w:val="22"/>
          <w:szCs w:val="22"/>
        </w:rPr>
        <w:t xml:space="preserve">Al respecto, el artículo 244 del Reglamento señala que el plazo de prescripción se suspende en el caso de la tramitación de proceso arbitral o judicial </w:t>
      </w:r>
      <w:r w:rsidRPr="007E4523">
        <w:rPr>
          <w:rFonts w:ascii="Tahoma" w:hAnsi="Tahoma" w:cs="Tahoma"/>
          <w:b/>
          <w:sz w:val="22"/>
          <w:szCs w:val="22"/>
          <w:u w:val="single"/>
        </w:rPr>
        <w:t>cuando sea necesario para la determinación de la responsabilidad del proveedor, postor, contratista o experto independiente, en el respectivo procedimiento administrativo sancionador</w:t>
      </w:r>
      <w:r w:rsidRPr="007E4523">
        <w:rPr>
          <w:rFonts w:ascii="Tahoma" w:hAnsi="Tahoma" w:cs="Tahoma"/>
          <w:sz w:val="22"/>
          <w:szCs w:val="22"/>
        </w:rPr>
        <w:t>. (la negrita y subrayado es nuestro)</w:t>
      </w:r>
      <w:r w:rsidRPr="007E4523">
        <w:rPr>
          <w:rStyle w:val="Refdenotaalpie"/>
          <w:rFonts w:ascii="Tahoma" w:hAnsi="Tahoma" w:cs="Tahoma"/>
          <w:sz w:val="22"/>
          <w:szCs w:val="22"/>
        </w:rPr>
        <w:t xml:space="preserve"> </w:t>
      </w:r>
      <w:r w:rsidRPr="007E4523">
        <w:rPr>
          <w:rStyle w:val="Refdenotaalpie"/>
          <w:rFonts w:ascii="Tahoma" w:hAnsi="Tahoma" w:cs="Tahoma"/>
          <w:sz w:val="22"/>
          <w:szCs w:val="22"/>
        </w:rPr>
        <w:footnoteReference w:id="3"/>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Textoindependiente"/>
        <w:widowControl w:val="0"/>
        <w:numPr>
          <w:ilvl w:val="0"/>
          <w:numId w:val="9"/>
        </w:numPr>
        <w:tabs>
          <w:tab w:val="clear" w:pos="360"/>
          <w:tab w:val="num" w:pos="567"/>
        </w:tabs>
        <w:suppressAutoHyphens/>
        <w:spacing w:after="0"/>
        <w:ind w:left="567" w:hanging="567"/>
        <w:contextualSpacing/>
        <w:jc w:val="both"/>
        <w:rPr>
          <w:rFonts w:ascii="Tahoma" w:hAnsi="Tahoma" w:cs="Tahoma"/>
          <w:sz w:val="22"/>
          <w:szCs w:val="22"/>
        </w:rPr>
      </w:pPr>
      <w:r w:rsidRPr="007E4523">
        <w:rPr>
          <w:rFonts w:ascii="Tahoma" w:hAnsi="Tahoma" w:cs="Tahoma"/>
          <w:sz w:val="22"/>
          <w:szCs w:val="22"/>
        </w:rPr>
        <w:t>En ese sentido, considerando que en el presente procedimiento administrativo sancionador se puede verificar la configuración de la infracción no opera la suspensión de su plazo toda vez que el proceso arbitral no resulta necesario para la determinación de la responsabilidad del contratista, ya verificado conforme a los argumentos vertidos en la presente Resolución.</w:t>
      </w:r>
    </w:p>
    <w:p w:rsidR="00251138" w:rsidRPr="007E4523" w:rsidRDefault="00251138" w:rsidP="00251138">
      <w:pPr>
        <w:pStyle w:val="Textoindependiente"/>
        <w:widowControl w:val="0"/>
        <w:suppressAutoHyphens/>
        <w:spacing w:after="0"/>
        <w:jc w:val="both"/>
        <w:rPr>
          <w:rFonts w:ascii="Tahoma" w:hAnsi="Tahoma" w:cs="Tahoma"/>
          <w:sz w:val="22"/>
          <w:szCs w:val="22"/>
        </w:rPr>
      </w:pPr>
    </w:p>
    <w:p w:rsidR="00251138" w:rsidRPr="007E4523" w:rsidRDefault="00251138" w:rsidP="00251138">
      <w:pPr>
        <w:pStyle w:val="Textoindependiente"/>
        <w:widowControl w:val="0"/>
        <w:numPr>
          <w:ilvl w:val="0"/>
          <w:numId w:val="9"/>
        </w:numPr>
        <w:tabs>
          <w:tab w:val="clear" w:pos="360"/>
        </w:tabs>
        <w:suppressAutoHyphens/>
        <w:spacing w:after="0"/>
        <w:ind w:left="567" w:hanging="567"/>
        <w:jc w:val="both"/>
        <w:rPr>
          <w:rFonts w:ascii="Tahoma" w:hAnsi="Tahoma" w:cs="Tahoma"/>
          <w:sz w:val="22"/>
          <w:szCs w:val="22"/>
        </w:rPr>
      </w:pPr>
      <w:r w:rsidRPr="007E4523">
        <w:rPr>
          <w:rFonts w:ascii="Tahoma" w:hAnsi="Tahoma" w:cs="Tahoma"/>
          <w:sz w:val="22"/>
          <w:szCs w:val="22"/>
        </w:rPr>
        <w:t xml:space="preserve">De otro lado, cabe indicar que el artículo 239 del Reglamento establece: </w:t>
      </w:r>
      <w:r w:rsidRPr="007E4523">
        <w:rPr>
          <w:rFonts w:ascii="Tahoma" w:hAnsi="Tahoma" w:cs="Tahoma"/>
          <w:b/>
          <w:i/>
          <w:sz w:val="22"/>
          <w:szCs w:val="22"/>
        </w:rPr>
        <w:t>“Las infracciones cometidas por los postores que presentaron promesa de consorcio durante su participación en el proceso de selección se imputarán exclusivamente a la parte que las haya cometido, aplicándose sólo a ésta la sanción a que hubiere lugar, siempre que pudiera individualizarse al infractor”</w:t>
      </w:r>
      <w:r w:rsidRPr="007E4523">
        <w:rPr>
          <w:rFonts w:ascii="Tahoma" w:hAnsi="Tahoma" w:cs="Tahoma"/>
          <w:sz w:val="22"/>
          <w:szCs w:val="22"/>
        </w:rPr>
        <w:t xml:space="preserve">.  Por lo tanto, y como es de apreciarse, es posible, en el caso que nos ocupa, individualizar al infractor, recayendo la responsabilidad en la empresa Ivotec Ingenieros SRL. Teniendo en cuenta ello, corresponde eximir de responsabilidad a las empresas Jorge Napoleón Cubas Ruiz, Sewyz SRL, W. Carty SRL, C&amp;C Consul Ejec Contratistas Grles SRL, Construcciones Civiles y Portuarias S.A., </w:t>
      </w:r>
      <w:r w:rsidRPr="007E4523">
        <w:rPr>
          <w:rFonts w:ascii="Tahoma" w:hAnsi="Tahoma" w:cs="Tahoma"/>
          <w:bCs/>
          <w:sz w:val="22"/>
          <w:szCs w:val="22"/>
        </w:rPr>
        <w:t xml:space="preserve">no siendo pasibles de sanción por los </w:t>
      </w:r>
      <w:r w:rsidRPr="007E4523">
        <w:rPr>
          <w:rFonts w:ascii="Tahoma" w:hAnsi="Tahoma" w:cs="Tahoma"/>
          <w:bCs/>
          <w:sz w:val="22"/>
          <w:szCs w:val="22"/>
        </w:rPr>
        <w:lastRenderedPageBreak/>
        <w:t>hechos acaecidos.</w:t>
      </w:r>
    </w:p>
    <w:p w:rsidR="00251138" w:rsidRPr="007E4523" w:rsidRDefault="00251138" w:rsidP="00251138">
      <w:pPr>
        <w:pStyle w:val="Prrafodelista"/>
        <w:rPr>
          <w:rFonts w:ascii="Tahoma" w:hAnsi="Tahoma" w:cs="Tahoma"/>
          <w:sz w:val="22"/>
          <w:szCs w:val="22"/>
          <w:lang w:val="es-PE"/>
        </w:rPr>
      </w:pPr>
    </w:p>
    <w:p w:rsidR="00251138" w:rsidRPr="007E4523" w:rsidRDefault="00251138" w:rsidP="00251138">
      <w:pPr>
        <w:pStyle w:val="Textoindependiente"/>
        <w:widowControl w:val="0"/>
        <w:numPr>
          <w:ilvl w:val="0"/>
          <w:numId w:val="9"/>
        </w:numPr>
        <w:tabs>
          <w:tab w:val="clear" w:pos="360"/>
          <w:tab w:val="num" w:pos="567"/>
        </w:tabs>
        <w:suppressAutoHyphens/>
        <w:spacing w:after="0"/>
        <w:ind w:left="567" w:hanging="567"/>
        <w:jc w:val="both"/>
        <w:rPr>
          <w:rFonts w:ascii="Tahoma" w:hAnsi="Tahoma" w:cs="Tahoma"/>
          <w:sz w:val="22"/>
          <w:szCs w:val="22"/>
        </w:rPr>
      </w:pPr>
      <w:r w:rsidRPr="007E4523">
        <w:rPr>
          <w:rFonts w:ascii="Tahoma" w:hAnsi="Tahoma" w:cs="Tahoma"/>
          <w:sz w:val="22"/>
          <w:szCs w:val="22"/>
          <w:lang w:val="es-PE"/>
        </w:rPr>
        <w:t>Por consiguiente, este Colegiado concluye que se ha configurado la infracción tipificada en el</w:t>
      </w:r>
      <w:r w:rsidRPr="007E4523">
        <w:rPr>
          <w:rFonts w:ascii="Tahoma" w:hAnsi="Tahoma" w:cs="Tahoma"/>
          <w:sz w:val="22"/>
          <w:szCs w:val="22"/>
        </w:rPr>
        <w:t xml:space="preserve"> literal d) del numeral 51.1 del artículo 51 de la Ley, y en el literal d) del numeral 1 artículo 237 del Reglamento </w:t>
      </w:r>
      <w:r w:rsidRPr="007E4523">
        <w:rPr>
          <w:rFonts w:ascii="Tahoma" w:hAnsi="Tahoma" w:cs="Tahoma"/>
          <w:sz w:val="22"/>
          <w:szCs w:val="22"/>
          <w:lang w:val="es-PE"/>
        </w:rPr>
        <w:t xml:space="preserve">al haberse acreditado que </w:t>
      </w:r>
      <w:r w:rsidRPr="007E4523">
        <w:rPr>
          <w:rFonts w:ascii="Tahoma" w:hAnsi="Tahoma" w:cs="Tahoma"/>
          <w:sz w:val="22"/>
          <w:szCs w:val="22"/>
        </w:rPr>
        <w:t>la empresa Ivotec Ingenieros SRL</w:t>
      </w:r>
      <w:r w:rsidRPr="007E4523">
        <w:rPr>
          <w:rFonts w:ascii="Tahoma" w:hAnsi="Tahoma" w:cs="Tahoma"/>
          <w:sz w:val="22"/>
          <w:szCs w:val="22"/>
          <w:lang w:val="es-PE"/>
        </w:rPr>
        <w:t xml:space="preserve"> contrató con el Estado estando impedido para ello, de acuerdo a lo previsto en el artículo 10 de la Ley</w:t>
      </w:r>
      <w:r w:rsidRPr="007E4523">
        <w:rPr>
          <w:rFonts w:ascii="Tahoma" w:hAnsi="Tahoma" w:cs="Tahoma"/>
          <w:sz w:val="22"/>
          <w:szCs w:val="22"/>
        </w:rPr>
        <w:t>.</w:t>
      </w:r>
    </w:p>
    <w:p w:rsidR="00251138" w:rsidRPr="007E4523" w:rsidRDefault="00251138" w:rsidP="00251138">
      <w:pPr>
        <w:pStyle w:val="Prrafodelista"/>
        <w:rPr>
          <w:rFonts w:ascii="Tahoma" w:hAnsi="Tahoma" w:cs="Tahoma"/>
          <w:sz w:val="22"/>
          <w:szCs w:val="22"/>
        </w:rPr>
      </w:pPr>
    </w:p>
    <w:p w:rsidR="00251138" w:rsidRPr="007E4523" w:rsidRDefault="00251138" w:rsidP="00251138">
      <w:pPr>
        <w:pStyle w:val="Textoindependiente"/>
        <w:widowControl w:val="0"/>
        <w:numPr>
          <w:ilvl w:val="0"/>
          <w:numId w:val="9"/>
        </w:numPr>
        <w:tabs>
          <w:tab w:val="clear" w:pos="360"/>
          <w:tab w:val="num" w:pos="567"/>
        </w:tabs>
        <w:suppressAutoHyphens/>
        <w:spacing w:after="0"/>
        <w:ind w:left="567" w:hanging="567"/>
        <w:jc w:val="both"/>
        <w:rPr>
          <w:rFonts w:ascii="Tahoma" w:hAnsi="Tahoma" w:cs="Tahoma"/>
          <w:sz w:val="22"/>
          <w:szCs w:val="22"/>
        </w:rPr>
      </w:pPr>
      <w:r w:rsidRPr="007E4523">
        <w:rPr>
          <w:rFonts w:ascii="Tahoma" w:hAnsi="Tahoma" w:cs="Tahoma"/>
          <w:sz w:val="22"/>
          <w:szCs w:val="22"/>
        </w:rPr>
        <w:t xml:space="preserve">Teniendo en cuenta ello, evaluando la graduación de la sanción correspondiente a la empresa infractora en el presente caso, el numeral 51.2 del artículo 51 de la Ley y el numeral 2 del artículo 237 del Reglamento, han dispuesto que para el caso de los proveedores, participantes, postores o contratistas que incurran en las causales establecidas en el literal d) del referido artículo serán sancionados con inhabilitación temporal para contratar con el Estado por un período no menor a un (1) año ni mayor de tres (3) años. </w:t>
      </w:r>
    </w:p>
    <w:p w:rsidR="00251138" w:rsidRPr="007E4523" w:rsidRDefault="00251138" w:rsidP="00251138">
      <w:pPr>
        <w:pStyle w:val="Textoindependiente"/>
        <w:widowControl w:val="0"/>
        <w:suppressAutoHyphens/>
        <w:spacing w:after="0"/>
        <w:ind w:left="567"/>
        <w:jc w:val="both"/>
        <w:rPr>
          <w:rFonts w:ascii="Tahoma" w:hAnsi="Tahoma" w:cs="Tahoma"/>
          <w:sz w:val="22"/>
          <w:szCs w:val="22"/>
        </w:rPr>
      </w:pPr>
    </w:p>
    <w:p w:rsidR="00251138" w:rsidRPr="007E4523" w:rsidRDefault="00251138" w:rsidP="00251138">
      <w:pPr>
        <w:ind w:left="567"/>
        <w:jc w:val="both"/>
        <w:rPr>
          <w:rFonts w:ascii="Tahoma" w:hAnsi="Tahoma" w:cs="Tahoma"/>
          <w:sz w:val="22"/>
          <w:szCs w:val="22"/>
        </w:rPr>
      </w:pPr>
      <w:r w:rsidRPr="007E4523">
        <w:rPr>
          <w:rFonts w:ascii="Tahoma" w:hAnsi="Tahoma" w:cs="Tahoma"/>
          <w:sz w:val="22"/>
          <w:szCs w:val="22"/>
        </w:rPr>
        <w:t>Conforme al mencionado artículo, la sanción que se impondrá a la denunciada deberá ser graduada dentro de los límites dispuestos en el precitado artículo, para lo cual deberá tenerse en cuenta lo dispuesto por el artículo 245</w:t>
      </w:r>
      <w:r w:rsidRPr="007E4523">
        <w:rPr>
          <w:rStyle w:val="Refdenotaalpie"/>
          <w:rFonts w:ascii="Tahoma" w:eastAsia="Batang" w:hAnsi="Tahoma" w:cs="Tahoma"/>
          <w:sz w:val="22"/>
          <w:szCs w:val="22"/>
        </w:rPr>
        <w:footnoteReference w:id="4"/>
      </w:r>
      <w:r w:rsidRPr="007E4523">
        <w:rPr>
          <w:rFonts w:ascii="Tahoma" w:hAnsi="Tahoma" w:cs="Tahoma"/>
          <w:sz w:val="22"/>
          <w:szCs w:val="22"/>
        </w:rPr>
        <w:t xml:space="preserve"> del Reglamento.</w:t>
      </w:r>
    </w:p>
    <w:p w:rsidR="00251138" w:rsidRPr="007E4523" w:rsidRDefault="00251138" w:rsidP="00251138">
      <w:pPr>
        <w:pStyle w:val="Textoindependiente"/>
        <w:widowControl w:val="0"/>
        <w:suppressAutoHyphens/>
        <w:spacing w:after="0"/>
        <w:jc w:val="both"/>
        <w:rPr>
          <w:rFonts w:ascii="Tahoma" w:hAnsi="Tahoma" w:cs="Tahoma"/>
          <w:sz w:val="22"/>
          <w:szCs w:val="22"/>
        </w:rPr>
      </w:pPr>
    </w:p>
    <w:p w:rsidR="00251138" w:rsidRPr="007E4523" w:rsidRDefault="00251138" w:rsidP="00251138">
      <w:pPr>
        <w:numPr>
          <w:ilvl w:val="0"/>
          <w:numId w:val="9"/>
        </w:numPr>
        <w:tabs>
          <w:tab w:val="clear" w:pos="360"/>
          <w:tab w:val="num" w:pos="567"/>
        </w:tabs>
        <w:ind w:left="567" w:hanging="567"/>
        <w:jc w:val="both"/>
        <w:rPr>
          <w:rFonts w:ascii="Tahoma" w:hAnsi="Tahoma" w:cs="Tahoma"/>
          <w:color w:val="000000" w:themeColor="text1"/>
          <w:sz w:val="22"/>
          <w:szCs w:val="22"/>
        </w:rPr>
      </w:pPr>
      <w:r w:rsidRPr="007E4523">
        <w:rPr>
          <w:rFonts w:ascii="Tahoma" w:hAnsi="Tahoma" w:cs="Tahoma"/>
          <w:sz w:val="22"/>
          <w:szCs w:val="22"/>
        </w:rPr>
        <w:t>A</w:t>
      </w:r>
      <w:r w:rsidRPr="007E4523">
        <w:rPr>
          <w:rFonts w:ascii="Tahoma" w:hAnsi="Tahoma" w:cs="Tahoma"/>
          <w:color w:val="000000" w:themeColor="text1"/>
          <w:sz w:val="22"/>
          <w:szCs w:val="22"/>
        </w:rPr>
        <w:t xml:space="preserve">tendiendo a la naturaleza de la infracción, debe tenerse en cuenta que ésta reviste una considerable gravedad pues vulnera el </w:t>
      </w:r>
      <w:r w:rsidRPr="007E4523">
        <w:rPr>
          <w:rFonts w:ascii="Tahoma" w:hAnsi="Tahoma" w:cs="Tahoma"/>
          <w:i/>
          <w:color w:val="000000" w:themeColor="text1"/>
          <w:sz w:val="22"/>
          <w:szCs w:val="22"/>
        </w:rPr>
        <w:t>Principio de Moralidad</w:t>
      </w:r>
      <w:r w:rsidRPr="007E4523">
        <w:rPr>
          <w:rFonts w:ascii="Tahoma" w:hAnsi="Tahoma" w:cs="Tahoma"/>
          <w:color w:val="000000" w:themeColor="text1"/>
          <w:sz w:val="22"/>
          <w:szCs w:val="22"/>
        </w:rPr>
        <w:t xml:space="preserve"> que debe regir a todos los actos vinculados a las contrataciones públicas, conforme a lo prescrito en el literal b) del artículo 4 de la Ley. Así también</w:t>
      </w:r>
      <w:r w:rsidRPr="007E4523">
        <w:rPr>
          <w:rFonts w:ascii="Tahoma" w:hAnsi="Tahoma" w:cs="Tahoma"/>
          <w:sz w:val="22"/>
          <w:szCs w:val="22"/>
        </w:rPr>
        <w:t xml:space="preserve"> junto a la </w:t>
      </w:r>
      <w:r w:rsidRPr="007E4523">
        <w:rPr>
          <w:rFonts w:ascii="Tahoma" w:hAnsi="Tahoma" w:cs="Tahoma"/>
          <w:i/>
          <w:sz w:val="22"/>
          <w:szCs w:val="22"/>
        </w:rPr>
        <w:t>Fe Pública</w:t>
      </w:r>
      <w:r w:rsidRPr="007E4523">
        <w:rPr>
          <w:rFonts w:ascii="Tahoma" w:hAnsi="Tahoma" w:cs="Tahoma"/>
          <w:sz w:val="22"/>
          <w:szCs w:val="22"/>
        </w:rPr>
        <w:t>, constituyen bienes jurídicos merecedores de protección especial, pues constituyen los pilares que rigen las relaciones suscitadas entre la Administración Pública y los administrados.</w:t>
      </w:r>
    </w:p>
    <w:p w:rsidR="00251138" w:rsidRPr="007E4523" w:rsidRDefault="00251138" w:rsidP="00251138">
      <w:pPr>
        <w:pStyle w:val="Sangradetextonormal"/>
        <w:spacing w:after="0"/>
        <w:ind w:left="567"/>
        <w:jc w:val="both"/>
        <w:rPr>
          <w:rFonts w:ascii="Tahoma" w:hAnsi="Tahoma" w:cs="Tahoma"/>
          <w:sz w:val="22"/>
          <w:szCs w:val="22"/>
        </w:rPr>
      </w:pPr>
    </w:p>
    <w:p w:rsidR="00251138" w:rsidRPr="007E4523" w:rsidRDefault="00251138" w:rsidP="00251138">
      <w:pPr>
        <w:pStyle w:val="Prrafodelista"/>
        <w:numPr>
          <w:ilvl w:val="0"/>
          <w:numId w:val="9"/>
        </w:numPr>
        <w:tabs>
          <w:tab w:val="clear" w:pos="360"/>
          <w:tab w:val="num" w:pos="567"/>
        </w:tabs>
        <w:ind w:left="567" w:hanging="567"/>
        <w:jc w:val="both"/>
        <w:rPr>
          <w:rFonts w:ascii="Tahoma" w:hAnsi="Tahoma" w:cs="Tahoma"/>
          <w:b/>
          <w:bCs/>
          <w:shadow/>
          <w:color w:val="000000" w:themeColor="text1"/>
          <w:sz w:val="22"/>
          <w:szCs w:val="22"/>
        </w:rPr>
      </w:pPr>
      <w:r w:rsidRPr="007E4523">
        <w:rPr>
          <w:rFonts w:ascii="Tahoma" w:hAnsi="Tahoma" w:cs="Tahoma"/>
          <w:color w:val="000000" w:themeColor="text1"/>
          <w:sz w:val="22"/>
          <w:szCs w:val="22"/>
        </w:rPr>
        <w:t xml:space="preserve">Así también, </w:t>
      </w:r>
      <w:r w:rsidRPr="007E4523">
        <w:rPr>
          <w:rFonts w:ascii="Tahoma" w:hAnsi="Tahoma" w:cs="Tahoma"/>
          <w:sz w:val="22"/>
          <w:szCs w:val="22"/>
        </w:rPr>
        <w:t>la intencionalidad de la empresa Ivotec Ingenieros SRL</w:t>
      </w:r>
      <w:r w:rsidRPr="007E4523">
        <w:rPr>
          <w:rFonts w:ascii="Tahoma" w:hAnsi="Tahoma" w:cs="Tahoma"/>
          <w:sz w:val="22"/>
          <w:szCs w:val="22"/>
          <w:lang w:val="es-PE"/>
        </w:rPr>
        <w:t xml:space="preserve"> </w:t>
      </w:r>
      <w:r w:rsidRPr="007E4523">
        <w:rPr>
          <w:rFonts w:ascii="Tahoma" w:hAnsi="Tahoma" w:cs="Tahoma"/>
          <w:sz w:val="22"/>
          <w:szCs w:val="22"/>
        </w:rPr>
        <w:t>debe ser tomada como agravante al momento de graduar la sanción a ser impuesta, pues a la fecha de suscripción del contrato conocía que ya se encontraba inhabilitada para contratar con el Estado.</w:t>
      </w:r>
    </w:p>
    <w:p w:rsidR="00251138" w:rsidRPr="007E4523" w:rsidRDefault="00251138" w:rsidP="00251138">
      <w:pPr>
        <w:pStyle w:val="Prrafodelista"/>
        <w:rPr>
          <w:rFonts w:ascii="Tahoma" w:hAnsi="Tahoma" w:cs="Tahoma"/>
          <w:b/>
          <w:bCs/>
          <w:shadow/>
          <w:color w:val="000000" w:themeColor="text1"/>
          <w:sz w:val="22"/>
          <w:szCs w:val="22"/>
        </w:rPr>
      </w:pPr>
    </w:p>
    <w:p w:rsidR="00251138" w:rsidRPr="007E4523" w:rsidRDefault="00251138" w:rsidP="00251138">
      <w:pPr>
        <w:pStyle w:val="Prrafodelista"/>
        <w:numPr>
          <w:ilvl w:val="0"/>
          <w:numId w:val="9"/>
        </w:numPr>
        <w:tabs>
          <w:tab w:val="clear" w:pos="360"/>
          <w:tab w:val="num" w:pos="567"/>
        </w:tabs>
        <w:ind w:left="567" w:hanging="567"/>
        <w:jc w:val="both"/>
        <w:rPr>
          <w:rFonts w:ascii="Tahoma" w:hAnsi="Tahoma" w:cs="Tahoma"/>
          <w:bCs/>
          <w:shadow/>
          <w:color w:val="000000" w:themeColor="text1"/>
          <w:sz w:val="22"/>
          <w:szCs w:val="22"/>
        </w:rPr>
      </w:pPr>
      <w:r w:rsidRPr="007E4523">
        <w:rPr>
          <w:rFonts w:ascii="Tahoma" w:hAnsi="Tahoma" w:cs="Tahoma"/>
          <w:color w:val="000000" w:themeColor="text1"/>
          <w:sz w:val="22"/>
          <w:szCs w:val="22"/>
        </w:rPr>
        <w:lastRenderedPageBreak/>
        <w:t>Ahora bien, respecto del daño causado debe tenerse en cuenta que el Contratista obtuvo la buena pro del proceso de selección, luego de que el OSCE resolviera el recurso de apelación interpuesto en su oportunidad en el desarrollo del proceso, disponiendo se le otorgase la Buena Pro a la Contratista, con quien suscribió Contrato, determinando, la Entidad, posteriormente que se dejara sin efecto el mismo, volviéndose a convocar el proceso de selección situación que originó retraso en la ejecución de la Obra requerida por la Entidad, constituyendo ello un daño directo que perjudicó a la Entidad, ya que dilató innecesariamente la atención a sus necesidades.</w:t>
      </w:r>
    </w:p>
    <w:p w:rsidR="00251138" w:rsidRPr="007E4523" w:rsidRDefault="00251138" w:rsidP="00251138">
      <w:pPr>
        <w:pStyle w:val="Prrafodelista"/>
        <w:rPr>
          <w:rFonts w:ascii="Tahoma" w:hAnsi="Tahoma" w:cs="Tahoma"/>
          <w:bCs/>
          <w:shadow/>
          <w:color w:val="000000" w:themeColor="text1"/>
          <w:sz w:val="22"/>
          <w:szCs w:val="22"/>
        </w:rPr>
      </w:pPr>
    </w:p>
    <w:p w:rsidR="00251138" w:rsidRPr="007E4523" w:rsidRDefault="00251138" w:rsidP="00251138">
      <w:pPr>
        <w:pStyle w:val="Textoindependiente"/>
        <w:widowControl w:val="0"/>
        <w:numPr>
          <w:ilvl w:val="0"/>
          <w:numId w:val="9"/>
        </w:numPr>
        <w:tabs>
          <w:tab w:val="clear" w:pos="360"/>
          <w:tab w:val="num" w:pos="567"/>
        </w:tabs>
        <w:suppressAutoHyphens/>
        <w:spacing w:after="0"/>
        <w:ind w:left="567" w:hanging="567"/>
        <w:contextualSpacing/>
        <w:jc w:val="both"/>
        <w:rPr>
          <w:rFonts w:ascii="Tahoma" w:hAnsi="Tahoma" w:cs="Tahoma"/>
          <w:sz w:val="22"/>
          <w:szCs w:val="22"/>
        </w:rPr>
      </w:pPr>
      <w:r w:rsidRPr="007E4523">
        <w:rPr>
          <w:rFonts w:ascii="Tahoma" w:hAnsi="Tahoma" w:cs="Tahoma"/>
          <w:bCs/>
          <w:shadow/>
          <w:color w:val="000000" w:themeColor="text1"/>
          <w:sz w:val="22"/>
          <w:szCs w:val="22"/>
        </w:rPr>
        <w:t xml:space="preserve">Respecto a la reiterancia, cabe señalar que la empresa </w:t>
      </w:r>
      <w:r w:rsidRPr="007E4523">
        <w:rPr>
          <w:rFonts w:ascii="Tahoma" w:hAnsi="Tahoma" w:cs="Tahoma"/>
          <w:sz w:val="22"/>
          <w:szCs w:val="22"/>
        </w:rPr>
        <w:t xml:space="preserve">Ivotec Ingenieros SRL, ya fue sancionada por trece meses mediante Resolución Nº 766-2010-TC-S3 de fecha 26 de abril de 2010, al haberse determinado su responsabilidad en la comisión de la infracción tipificada en el literal a) del numeral 1) del artículo 237 del Reglamento de la Ley de Contrataciones del Estado, quedando inhabilitado para contratar con el Estado a partir del 02 de junio de 2010. </w:t>
      </w:r>
    </w:p>
    <w:p w:rsidR="00251138" w:rsidRPr="007E4523" w:rsidRDefault="00251138" w:rsidP="00251138">
      <w:pPr>
        <w:pStyle w:val="Prrafodelista"/>
        <w:ind w:left="567"/>
        <w:jc w:val="both"/>
        <w:rPr>
          <w:rFonts w:ascii="Tahoma" w:hAnsi="Tahoma" w:cs="Tahoma"/>
          <w:bCs/>
          <w:shadow/>
          <w:color w:val="000000" w:themeColor="text1"/>
          <w:sz w:val="22"/>
          <w:szCs w:val="22"/>
        </w:rPr>
      </w:pPr>
    </w:p>
    <w:p w:rsidR="00251138" w:rsidRPr="007E4523" w:rsidRDefault="00251138" w:rsidP="00251138">
      <w:pPr>
        <w:pStyle w:val="Prrafodelista"/>
        <w:numPr>
          <w:ilvl w:val="0"/>
          <w:numId w:val="9"/>
        </w:numPr>
        <w:tabs>
          <w:tab w:val="clear" w:pos="360"/>
          <w:tab w:val="num" w:pos="567"/>
        </w:tabs>
        <w:ind w:left="567" w:hanging="567"/>
        <w:jc w:val="both"/>
        <w:rPr>
          <w:rFonts w:ascii="Tahoma" w:hAnsi="Tahoma" w:cs="Tahoma"/>
          <w:b/>
          <w:bCs/>
          <w:shadow/>
          <w:color w:val="000000" w:themeColor="text1"/>
          <w:sz w:val="22"/>
          <w:szCs w:val="22"/>
        </w:rPr>
      </w:pPr>
      <w:r w:rsidRPr="007E4523">
        <w:rPr>
          <w:rFonts w:ascii="Tahoma" w:hAnsi="Tahoma" w:cs="Tahoma"/>
          <w:color w:val="000000" w:themeColor="text1"/>
          <w:sz w:val="22"/>
          <w:szCs w:val="22"/>
          <w:lang w:val="es-PE"/>
        </w:rPr>
        <w:t>No obstante lo mencionado, el Principio de Razonabilidad</w:t>
      </w:r>
      <w:r w:rsidRPr="007E4523">
        <w:rPr>
          <w:rFonts w:ascii="Tahoma" w:hAnsi="Tahoma" w:cs="Tahoma"/>
          <w:color w:val="000000" w:themeColor="text1"/>
          <w:sz w:val="22"/>
          <w:szCs w:val="22"/>
          <w:vertAlign w:val="superscript"/>
          <w:lang w:val="es-PE"/>
        </w:rPr>
        <w:footnoteReference w:id="5"/>
      </w:r>
      <w:r w:rsidRPr="007E4523">
        <w:rPr>
          <w:rFonts w:ascii="Tahoma" w:hAnsi="Tahoma" w:cs="Tahoma"/>
          <w:color w:val="000000" w:themeColor="text1"/>
          <w:sz w:val="22"/>
          <w:szCs w:val="22"/>
          <w:lang w:val="es-PE"/>
        </w:rPr>
        <w:t xml:space="preserve"> previsto en el numeral 3 del artículo 230 de la Ley № 27444 aconseja que las sanciones no deben ser desproporcionadas y que deben guardar relación con la conducta a reprimir, atendiendo a la necesidad que las empresas no sean privadas de su derecho de proveer al Estado más allá de lo estrictamente necesario para satisfacer los fines de la sanción, criterios que serán tomados en cuenta al momento de fijar la sanción a imponerse al Postor.</w:t>
      </w:r>
    </w:p>
    <w:p w:rsidR="00251138" w:rsidRPr="007E4523" w:rsidRDefault="00251138" w:rsidP="00251138">
      <w:pPr>
        <w:widowControl w:val="0"/>
        <w:suppressAutoHyphens/>
        <w:jc w:val="both"/>
        <w:rPr>
          <w:rFonts w:ascii="Tahoma" w:hAnsi="Tahoma" w:cs="Tahoma"/>
          <w:b/>
          <w:bCs/>
          <w:shadow/>
          <w:color w:val="000000" w:themeColor="text1"/>
          <w:sz w:val="22"/>
          <w:szCs w:val="22"/>
        </w:rPr>
      </w:pPr>
    </w:p>
    <w:p w:rsidR="00251138" w:rsidRDefault="00251138" w:rsidP="00251138">
      <w:pPr>
        <w:pStyle w:val="Textoindependiente"/>
        <w:widowControl w:val="0"/>
        <w:numPr>
          <w:ilvl w:val="0"/>
          <w:numId w:val="9"/>
        </w:numPr>
        <w:tabs>
          <w:tab w:val="clear" w:pos="360"/>
          <w:tab w:val="num" w:pos="567"/>
        </w:tabs>
        <w:suppressAutoHyphens/>
        <w:spacing w:after="0"/>
        <w:ind w:left="567" w:hanging="567"/>
        <w:jc w:val="both"/>
        <w:rPr>
          <w:rFonts w:ascii="Tahoma" w:hAnsi="Tahoma" w:cs="Tahoma"/>
          <w:sz w:val="22"/>
          <w:szCs w:val="22"/>
        </w:rPr>
      </w:pPr>
      <w:r w:rsidRPr="007E4523">
        <w:rPr>
          <w:rFonts w:ascii="Tahoma" w:hAnsi="Tahoma" w:cs="Tahoma"/>
          <w:sz w:val="22"/>
          <w:szCs w:val="22"/>
          <w:lang w:val="es-MX"/>
        </w:rPr>
        <w:t xml:space="preserve">En vista de ello, </w:t>
      </w:r>
      <w:r w:rsidRPr="007E4523">
        <w:rPr>
          <w:rFonts w:ascii="Tahoma" w:hAnsi="Tahoma" w:cs="Tahoma"/>
          <w:sz w:val="22"/>
          <w:szCs w:val="22"/>
        </w:rPr>
        <w:t>corresponde imponer a la empresa Ivotec Ingenieros SRL sanción administrativa de inhabilitación temporal en sus derechos para participar en procesos de selección y contratar con el Estado, por el periodo de dieciséis (16) meses.</w:t>
      </w:r>
    </w:p>
    <w:p w:rsidR="007E4523" w:rsidRPr="007E4523" w:rsidRDefault="007E4523" w:rsidP="001C1043">
      <w:pPr>
        <w:pStyle w:val="Textoindependiente"/>
        <w:widowControl w:val="0"/>
        <w:suppressAutoHyphens/>
        <w:spacing w:after="0"/>
        <w:jc w:val="both"/>
        <w:rPr>
          <w:rFonts w:ascii="Tahoma" w:hAnsi="Tahoma" w:cs="Tahoma"/>
          <w:sz w:val="22"/>
          <w:szCs w:val="22"/>
        </w:rPr>
      </w:pPr>
    </w:p>
    <w:p w:rsidR="00251138" w:rsidRPr="007E4523" w:rsidRDefault="00251138" w:rsidP="00251138">
      <w:pPr>
        <w:tabs>
          <w:tab w:val="left" w:pos="567"/>
        </w:tabs>
        <w:autoSpaceDE w:val="0"/>
        <w:autoSpaceDN w:val="0"/>
        <w:adjustRightInd w:val="0"/>
        <w:ind w:left="567" w:hanging="1440"/>
        <w:jc w:val="both"/>
        <w:rPr>
          <w:rFonts w:ascii="Tahoma" w:eastAsiaTheme="minorHAnsi" w:hAnsi="Tahoma" w:cs="Tahoma"/>
          <w:color w:val="000000"/>
          <w:sz w:val="22"/>
          <w:szCs w:val="22"/>
          <w:lang w:eastAsia="en-US"/>
        </w:rPr>
      </w:pPr>
      <w:r w:rsidRPr="007E4523">
        <w:rPr>
          <w:rFonts w:ascii="Tahoma" w:eastAsiaTheme="minorHAnsi" w:hAnsi="Tahoma" w:cs="Tahoma"/>
          <w:color w:val="000000"/>
          <w:sz w:val="22"/>
          <w:szCs w:val="22"/>
          <w:lang w:eastAsia="en-US"/>
        </w:rPr>
        <w:tab/>
        <w:t xml:space="preserve">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w:t>
      </w:r>
      <w:r w:rsidRPr="007E4523">
        <w:rPr>
          <w:rFonts w:ascii="Tahoma" w:eastAsiaTheme="minorHAnsi" w:hAnsi="Tahoma" w:cs="Tahoma"/>
          <w:color w:val="000000"/>
          <w:sz w:val="22"/>
          <w:szCs w:val="22"/>
          <w:lang w:eastAsia="en-US"/>
        </w:rPr>
        <w:lastRenderedPageBreak/>
        <w:t>Supremo № 006-2009-EF, analizados los antecedentes y luego de agotado el debate correspondiente, por unanimidad</w:t>
      </w:r>
    </w:p>
    <w:p w:rsidR="00251138" w:rsidRPr="007E4523" w:rsidRDefault="00251138" w:rsidP="001C1043">
      <w:pPr>
        <w:jc w:val="both"/>
        <w:rPr>
          <w:rFonts w:ascii="Tahoma" w:hAnsi="Tahoma" w:cs="Tahoma"/>
          <w:sz w:val="22"/>
          <w:szCs w:val="22"/>
        </w:rPr>
      </w:pPr>
    </w:p>
    <w:p w:rsidR="00251138" w:rsidRPr="007E4523" w:rsidRDefault="00251138" w:rsidP="00251138">
      <w:pPr>
        <w:ind w:firstLine="567"/>
        <w:jc w:val="both"/>
        <w:rPr>
          <w:rFonts w:ascii="Tahoma" w:hAnsi="Tahoma" w:cs="Tahoma"/>
          <w:b/>
          <w:sz w:val="22"/>
          <w:szCs w:val="22"/>
        </w:rPr>
      </w:pPr>
      <w:r w:rsidRPr="007E4523">
        <w:rPr>
          <w:rFonts w:ascii="Tahoma" w:hAnsi="Tahoma" w:cs="Tahoma"/>
          <w:b/>
          <w:sz w:val="22"/>
          <w:szCs w:val="22"/>
        </w:rPr>
        <w:t xml:space="preserve">LA SALA RESUELVE: </w:t>
      </w:r>
    </w:p>
    <w:p w:rsidR="00251138" w:rsidRPr="007E4523" w:rsidRDefault="00251138" w:rsidP="00251138">
      <w:pPr>
        <w:jc w:val="both"/>
        <w:rPr>
          <w:rFonts w:ascii="Tahoma" w:hAnsi="Tahoma" w:cs="Tahoma"/>
          <w:snapToGrid w:val="0"/>
          <w:sz w:val="22"/>
          <w:szCs w:val="22"/>
        </w:rPr>
      </w:pPr>
    </w:p>
    <w:p w:rsidR="00251138" w:rsidRPr="007E4523" w:rsidRDefault="00251138" w:rsidP="00251138">
      <w:pPr>
        <w:pStyle w:val="Prrafodelista"/>
        <w:numPr>
          <w:ilvl w:val="0"/>
          <w:numId w:val="7"/>
        </w:numPr>
        <w:ind w:left="567" w:hanging="567"/>
        <w:jc w:val="both"/>
        <w:rPr>
          <w:rFonts w:ascii="Tahoma" w:hAnsi="Tahoma" w:cs="Tahoma"/>
          <w:sz w:val="22"/>
          <w:szCs w:val="22"/>
        </w:rPr>
      </w:pPr>
      <w:r w:rsidRPr="007E4523">
        <w:rPr>
          <w:rFonts w:ascii="Tahoma" w:hAnsi="Tahoma" w:cs="Tahoma"/>
          <w:sz w:val="22"/>
          <w:szCs w:val="22"/>
        </w:rPr>
        <w:t>Imponer a Ivotec Ingenieros SRL sanción administrativa de inhabilitación temporal en sus derechos para participar en procesos de selección y contratar con el Estado, por el periodo de dieciséis (16) meses, la cual entrará en vigencia a partir del sexto día hábil siguiente de notificada la presente Resolución.</w:t>
      </w:r>
    </w:p>
    <w:p w:rsidR="00251138" w:rsidRPr="007E4523" w:rsidRDefault="00251138" w:rsidP="00251138">
      <w:pPr>
        <w:pStyle w:val="Prrafodelista"/>
        <w:ind w:left="567"/>
        <w:jc w:val="both"/>
        <w:rPr>
          <w:rFonts w:ascii="Tahoma" w:hAnsi="Tahoma" w:cs="Tahoma"/>
          <w:sz w:val="22"/>
          <w:szCs w:val="22"/>
        </w:rPr>
      </w:pPr>
    </w:p>
    <w:p w:rsidR="00251138" w:rsidRPr="007E4523" w:rsidRDefault="00251138" w:rsidP="00251138">
      <w:pPr>
        <w:pStyle w:val="Prrafodelista"/>
        <w:numPr>
          <w:ilvl w:val="0"/>
          <w:numId w:val="7"/>
        </w:numPr>
        <w:ind w:left="567" w:hanging="567"/>
        <w:jc w:val="both"/>
        <w:rPr>
          <w:rFonts w:ascii="Tahoma" w:hAnsi="Tahoma" w:cs="Tahoma"/>
          <w:sz w:val="22"/>
          <w:szCs w:val="22"/>
        </w:rPr>
      </w:pPr>
      <w:r w:rsidRPr="007E4523">
        <w:rPr>
          <w:rFonts w:ascii="Tahoma" w:hAnsi="Tahoma" w:cs="Tahoma"/>
          <w:sz w:val="22"/>
          <w:szCs w:val="22"/>
        </w:rPr>
        <w:t>Declarar NO HA LUGAR la imposición de sanción a las empresas Jorge Napoleón Cubas Ruiz, Sewyz SRL, W. Carty SRL, C&amp;C Consul Ejec Contratistas Grles SRL, y Construcciones Civiles y Portuarias S.A.</w:t>
      </w:r>
    </w:p>
    <w:p w:rsidR="00251138" w:rsidRPr="007E4523" w:rsidRDefault="00251138" w:rsidP="00251138">
      <w:pPr>
        <w:pStyle w:val="Prrafodelista"/>
        <w:ind w:left="426"/>
        <w:jc w:val="both"/>
        <w:rPr>
          <w:rFonts w:ascii="Tahoma" w:hAnsi="Tahoma" w:cs="Tahoma"/>
          <w:sz w:val="22"/>
          <w:szCs w:val="22"/>
        </w:rPr>
      </w:pPr>
    </w:p>
    <w:p w:rsidR="00251138" w:rsidRPr="007E4523" w:rsidRDefault="00251138" w:rsidP="00251138">
      <w:pPr>
        <w:pStyle w:val="Prrafodelista"/>
        <w:numPr>
          <w:ilvl w:val="0"/>
          <w:numId w:val="7"/>
        </w:numPr>
        <w:ind w:left="567" w:hanging="567"/>
        <w:jc w:val="both"/>
        <w:rPr>
          <w:rFonts w:ascii="Tahoma" w:hAnsi="Tahoma" w:cs="Tahoma"/>
          <w:sz w:val="22"/>
          <w:szCs w:val="22"/>
        </w:rPr>
      </w:pPr>
      <w:r w:rsidRPr="007E4523">
        <w:rPr>
          <w:rFonts w:ascii="Tahoma" w:hAnsi="Tahoma" w:cs="Tahoma"/>
          <w:sz w:val="22"/>
          <w:szCs w:val="22"/>
        </w:rPr>
        <w:t xml:space="preserve">Comunicar la presente resolución al Registro Nacional de Proveedores del Organismo Supervisor de las Contrataciones del Estado (OSCE). </w:t>
      </w:r>
    </w:p>
    <w:p w:rsidR="00251138" w:rsidRPr="007E4523" w:rsidRDefault="00251138" w:rsidP="00251138">
      <w:pPr>
        <w:pStyle w:val="Prrafodelista"/>
        <w:ind w:left="426"/>
        <w:jc w:val="both"/>
        <w:rPr>
          <w:rFonts w:ascii="Tahoma" w:hAnsi="Tahoma" w:cs="Tahoma"/>
          <w:color w:val="000000" w:themeColor="text1"/>
          <w:sz w:val="22"/>
          <w:szCs w:val="22"/>
        </w:rPr>
      </w:pPr>
    </w:p>
    <w:p w:rsidR="00251138" w:rsidRPr="007E4523" w:rsidRDefault="00251138" w:rsidP="00251138">
      <w:pPr>
        <w:pStyle w:val="Textoindependiente21"/>
        <w:ind w:firstLine="567"/>
        <w:rPr>
          <w:rFonts w:cs="Tahoma"/>
          <w:szCs w:val="22"/>
        </w:rPr>
      </w:pPr>
      <w:r w:rsidRPr="007E4523">
        <w:rPr>
          <w:rFonts w:cs="Tahoma"/>
          <w:szCs w:val="22"/>
        </w:rPr>
        <w:t>Regístrese, comuníquese y publíquese.</w:t>
      </w:r>
    </w:p>
    <w:p w:rsidR="00251138" w:rsidRPr="007E4523" w:rsidRDefault="00251138" w:rsidP="00251138">
      <w:pPr>
        <w:jc w:val="center"/>
        <w:rPr>
          <w:rFonts w:ascii="Tahoma" w:hAnsi="Tahoma" w:cs="Tahoma"/>
          <w:b/>
          <w:sz w:val="22"/>
          <w:szCs w:val="22"/>
        </w:rPr>
      </w:pPr>
    </w:p>
    <w:p w:rsidR="00251138" w:rsidRPr="007E4523" w:rsidRDefault="00251138" w:rsidP="00251138">
      <w:pPr>
        <w:jc w:val="center"/>
        <w:rPr>
          <w:rFonts w:ascii="Tahoma" w:hAnsi="Tahoma" w:cs="Tahoma"/>
          <w:b/>
          <w:sz w:val="22"/>
          <w:szCs w:val="22"/>
        </w:rPr>
      </w:pPr>
    </w:p>
    <w:p w:rsidR="00251138" w:rsidRPr="007E4523" w:rsidRDefault="00251138" w:rsidP="00251138">
      <w:pPr>
        <w:jc w:val="center"/>
        <w:rPr>
          <w:rFonts w:ascii="Tahoma" w:hAnsi="Tahoma" w:cs="Tahoma"/>
          <w:b/>
          <w:sz w:val="22"/>
          <w:szCs w:val="22"/>
        </w:rPr>
      </w:pPr>
    </w:p>
    <w:p w:rsidR="00251138" w:rsidRPr="007E4523" w:rsidRDefault="00251138" w:rsidP="00251138">
      <w:pPr>
        <w:jc w:val="center"/>
        <w:rPr>
          <w:rFonts w:ascii="Tahoma" w:hAnsi="Tahoma" w:cs="Tahoma"/>
          <w:b/>
          <w:sz w:val="22"/>
          <w:szCs w:val="22"/>
        </w:rPr>
      </w:pPr>
    </w:p>
    <w:p w:rsidR="00251138" w:rsidRPr="007E4523" w:rsidRDefault="00251138" w:rsidP="00251138">
      <w:pPr>
        <w:jc w:val="center"/>
        <w:rPr>
          <w:rFonts w:ascii="Tahoma" w:hAnsi="Tahoma" w:cs="Tahoma"/>
          <w:b/>
          <w:sz w:val="22"/>
          <w:szCs w:val="22"/>
        </w:rPr>
      </w:pPr>
    </w:p>
    <w:p w:rsidR="00251138" w:rsidRPr="007E4523" w:rsidRDefault="00251138" w:rsidP="00251138">
      <w:pPr>
        <w:jc w:val="center"/>
        <w:rPr>
          <w:rFonts w:ascii="Tahoma" w:hAnsi="Tahoma" w:cs="Tahoma"/>
          <w:b/>
          <w:sz w:val="22"/>
          <w:szCs w:val="22"/>
        </w:rPr>
      </w:pPr>
    </w:p>
    <w:p w:rsidR="00251138" w:rsidRPr="007E4523" w:rsidRDefault="00251138" w:rsidP="00251138">
      <w:pPr>
        <w:jc w:val="center"/>
        <w:rPr>
          <w:rFonts w:ascii="Tahoma" w:hAnsi="Tahoma" w:cs="Tahoma"/>
          <w:b/>
          <w:sz w:val="22"/>
          <w:szCs w:val="22"/>
        </w:rPr>
      </w:pPr>
    </w:p>
    <w:p w:rsidR="00251138" w:rsidRPr="007E4523" w:rsidRDefault="00251138" w:rsidP="00251138">
      <w:pPr>
        <w:jc w:val="center"/>
        <w:rPr>
          <w:rFonts w:ascii="Tahoma" w:hAnsi="Tahoma" w:cs="Tahoma"/>
          <w:b/>
          <w:sz w:val="22"/>
          <w:szCs w:val="22"/>
        </w:rPr>
      </w:pPr>
    </w:p>
    <w:p w:rsidR="00251138" w:rsidRPr="007E4523" w:rsidRDefault="00251138" w:rsidP="00251138">
      <w:pPr>
        <w:jc w:val="center"/>
        <w:rPr>
          <w:rFonts w:ascii="Tahoma" w:hAnsi="Tahoma" w:cs="Tahoma"/>
          <w:b/>
          <w:sz w:val="22"/>
          <w:szCs w:val="22"/>
        </w:rPr>
      </w:pPr>
    </w:p>
    <w:p w:rsidR="00251138" w:rsidRPr="007E4523" w:rsidRDefault="00251138" w:rsidP="00251138">
      <w:pPr>
        <w:jc w:val="center"/>
        <w:rPr>
          <w:rFonts w:ascii="Tahoma" w:hAnsi="Tahoma" w:cs="Tahoma"/>
          <w:b/>
          <w:sz w:val="22"/>
          <w:szCs w:val="22"/>
        </w:rPr>
      </w:pPr>
    </w:p>
    <w:p w:rsidR="00251138" w:rsidRPr="007E4523" w:rsidRDefault="00251138" w:rsidP="00251138">
      <w:pPr>
        <w:jc w:val="center"/>
        <w:rPr>
          <w:rFonts w:ascii="Tahoma" w:hAnsi="Tahoma" w:cs="Tahoma"/>
          <w:b/>
          <w:shadow/>
          <w:sz w:val="22"/>
          <w:szCs w:val="22"/>
          <w:lang w:val="pt-BR"/>
        </w:rPr>
      </w:pPr>
      <w:r w:rsidRPr="007E4523">
        <w:rPr>
          <w:rFonts w:ascii="Tahoma" w:hAnsi="Tahoma" w:cs="Tahoma"/>
          <w:b/>
          <w:shadow/>
          <w:sz w:val="22"/>
          <w:szCs w:val="22"/>
          <w:lang w:val="pt-BR"/>
        </w:rPr>
        <w:t>PRESIDENTE</w:t>
      </w:r>
    </w:p>
    <w:p w:rsidR="00251138" w:rsidRPr="007E4523" w:rsidRDefault="00251138" w:rsidP="00251138">
      <w:pPr>
        <w:ind w:firstLine="708"/>
        <w:rPr>
          <w:rFonts w:ascii="Tahoma" w:hAnsi="Tahoma" w:cs="Tahoma"/>
          <w:b/>
          <w:shadow/>
          <w:sz w:val="22"/>
          <w:szCs w:val="22"/>
          <w:lang w:val="pt-BR"/>
        </w:rPr>
      </w:pPr>
    </w:p>
    <w:p w:rsidR="00251138" w:rsidRPr="007E4523" w:rsidRDefault="00251138" w:rsidP="00251138">
      <w:pPr>
        <w:ind w:firstLine="708"/>
        <w:rPr>
          <w:rFonts w:ascii="Tahoma" w:hAnsi="Tahoma" w:cs="Tahoma"/>
          <w:b/>
          <w:shadow/>
          <w:sz w:val="22"/>
          <w:szCs w:val="22"/>
          <w:lang w:val="pt-BR"/>
        </w:rPr>
      </w:pPr>
      <w:r w:rsidRPr="007E4523">
        <w:rPr>
          <w:rFonts w:ascii="Tahoma" w:hAnsi="Tahoma" w:cs="Tahoma"/>
          <w:b/>
          <w:shadow/>
          <w:sz w:val="22"/>
          <w:szCs w:val="22"/>
          <w:lang w:val="pt-BR"/>
        </w:rPr>
        <w:t xml:space="preserve">VOCAL           </w:t>
      </w:r>
      <w:r w:rsidRPr="007E4523">
        <w:rPr>
          <w:rFonts w:ascii="Tahoma" w:hAnsi="Tahoma" w:cs="Tahoma"/>
          <w:b/>
          <w:shadow/>
          <w:sz w:val="22"/>
          <w:szCs w:val="22"/>
          <w:lang w:val="pt-BR"/>
        </w:rPr>
        <w:tab/>
      </w:r>
      <w:r w:rsidRPr="007E4523">
        <w:rPr>
          <w:rFonts w:ascii="Tahoma" w:hAnsi="Tahoma" w:cs="Tahoma"/>
          <w:b/>
          <w:shadow/>
          <w:sz w:val="22"/>
          <w:szCs w:val="22"/>
          <w:lang w:val="pt-BR"/>
        </w:rPr>
        <w:tab/>
        <w:t xml:space="preserve">                                                                 VOCAL</w:t>
      </w:r>
    </w:p>
    <w:p w:rsidR="00251138" w:rsidRPr="007E4523" w:rsidRDefault="00251138" w:rsidP="00251138">
      <w:pPr>
        <w:rPr>
          <w:rFonts w:ascii="Tahoma" w:hAnsi="Tahoma" w:cs="Tahoma"/>
          <w:sz w:val="22"/>
          <w:szCs w:val="22"/>
          <w:lang w:val="pt-BR"/>
        </w:rPr>
      </w:pPr>
    </w:p>
    <w:p w:rsidR="00251138" w:rsidRPr="007E4523" w:rsidRDefault="00251138" w:rsidP="00251138">
      <w:pPr>
        <w:rPr>
          <w:rFonts w:ascii="Tahoma" w:hAnsi="Tahoma" w:cs="Tahoma"/>
          <w:sz w:val="22"/>
          <w:szCs w:val="22"/>
          <w:lang w:val="pt-BR"/>
        </w:rPr>
      </w:pPr>
    </w:p>
    <w:p w:rsidR="00251138" w:rsidRPr="007E4523" w:rsidRDefault="00251138" w:rsidP="00251138">
      <w:pPr>
        <w:jc w:val="both"/>
        <w:rPr>
          <w:rFonts w:ascii="Tahoma" w:hAnsi="Tahoma" w:cs="Tahoma"/>
          <w:sz w:val="22"/>
          <w:szCs w:val="22"/>
          <w:lang w:val="pt-BR"/>
        </w:rPr>
      </w:pPr>
      <w:r w:rsidRPr="007E4523">
        <w:rPr>
          <w:rFonts w:ascii="Tahoma" w:hAnsi="Tahoma" w:cs="Tahoma"/>
          <w:sz w:val="22"/>
          <w:szCs w:val="22"/>
          <w:lang w:val="pt-BR"/>
        </w:rPr>
        <w:t>ss.</w:t>
      </w:r>
    </w:p>
    <w:p w:rsidR="00251138" w:rsidRPr="007E4523" w:rsidRDefault="00251138" w:rsidP="00251138">
      <w:pPr>
        <w:pStyle w:val="Textoindependiente21"/>
        <w:tabs>
          <w:tab w:val="left" w:pos="5250"/>
        </w:tabs>
        <w:rPr>
          <w:rFonts w:cs="Tahoma"/>
          <w:szCs w:val="22"/>
          <w:lang w:val="pt-BR"/>
        </w:rPr>
      </w:pPr>
      <w:r w:rsidRPr="007E4523">
        <w:rPr>
          <w:rFonts w:cs="Tahoma"/>
          <w:szCs w:val="22"/>
          <w:lang w:val="pt-BR"/>
        </w:rPr>
        <w:t>Navas Rondón.</w:t>
      </w:r>
    </w:p>
    <w:p w:rsidR="00251138" w:rsidRPr="007E4523" w:rsidRDefault="00251138" w:rsidP="00251138">
      <w:pPr>
        <w:pStyle w:val="Textoindependiente21"/>
        <w:tabs>
          <w:tab w:val="left" w:pos="5250"/>
        </w:tabs>
        <w:rPr>
          <w:rFonts w:cs="Tahoma"/>
          <w:szCs w:val="22"/>
          <w:lang w:val="pt-BR"/>
        </w:rPr>
      </w:pPr>
      <w:r w:rsidRPr="007E4523">
        <w:rPr>
          <w:rFonts w:cs="Tahoma"/>
          <w:szCs w:val="22"/>
        </w:rPr>
        <w:t>Ramírez Maynetto.</w:t>
      </w:r>
    </w:p>
    <w:p w:rsidR="00251138" w:rsidRPr="007E4523" w:rsidRDefault="00251138" w:rsidP="00251138">
      <w:pPr>
        <w:pStyle w:val="Textoindependiente21"/>
        <w:tabs>
          <w:tab w:val="left" w:pos="5250"/>
        </w:tabs>
        <w:rPr>
          <w:rFonts w:cs="Tahoma"/>
          <w:szCs w:val="22"/>
          <w:lang w:val="pt-BR"/>
        </w:rPr>
      </w:pPr>
      <w:r w:rsidRPr="007E4523">
        <w:rPr>
          <w:rFonts w:cs="Tahoma"/>
          <w:szCs w:val="22"/>
          <w:lang w:val="pt-BR"/>
        </w:rPr>
        <w:t>Basulto Liewald.</w:t>
      </w:r>
    </w:p>
    <w:p w:rsidR="00251138" w:rsidRPr="007E4523" w:rsidRDefault="00251138" w:rsidP="00251138">
      <w:pPr>
        <w:rPr>
          <w:rFonts w:ascii="Tahoma" w:hAnsi="Tahoma" w:cs="Tahoma"/>
          <w:sz w:val="22"/>
          <w:szCs w:val="22"/>
        </w:rPr>
      </w:pPr>
    </w:p>
    <w:p w:rsidR="001D5C36" w:rsidRPr="007E4523" w:rsidRDefault="002E0286">
      <w:pPr>
        <w:rPr>
          <w:sz w:val="22"/>
          <w:szCs w:val="22"/>
        </w:rPr>
      </w:pPr>
    </w:p>
    <w:sectPr w:rsidR="001D5C36" w:rsidRPr="007E4523"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286" w:rsidRDefault="002E0286" w:rsidP="00251138">
      <w:r>
        <w:separator/>
      </w:r>
    </w:p>
  </w:endnote>
  <w:endnote w:type="continuationSeparator" w:id="1">
    <w:p w:rsidR="002E0286" w:rsidRDefault="002E0286" w:rsidP="00251138">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B92B6D">
            <w:pPr>
              <w:pStyle w:val="Piedepgina"/>
              <w:jc w:val="center"/>
            </w:pPr>
            <w:r>
              <w:t xml:space="preserve">Página </w:t>
            </w:r>
            <w:r w:rsidR="009F0C79">
              <w:rPr>
                <w:b/>
              </w:rPr>
              <w:fldChar w:fldCharType="begin"/>
            </w:r>
            <w:r>
              <w:rPr>
                <w:b/>
              </w:rPr>
              <w:instrText>PAGE</w:instrText>
            </w:r>
            <w:r w:rsidR="009F0C79">
              <w:rPr>
                <w:b/>
              </w:rPr>
              <w:fldChar w:fldCharType="separate"/>
            </w:r>
            <w:r w:rsidR="00547DAE">
              <w:rPr>
                <w:b/>
                <w:noProof/>
              </w:rPr>
              <w:t>1</w:t>
            </w:r>
            <w:r w:rsidR="009F0C79">
              <w:rPr>
                <w:b/>
              </w:rPr>
              <w:fldChar w:fldCharType="end"/>
            </w:r>
            <w:r>
              <w:t xml:space="preserve"> de </w:t>
            </w:r>
            <w:r w:rsidR="009F0C79">
              <w:rPr>
                <w:b/>
              </w:rPr>
              <w:fldChar w:fldCharType="begin"/>
            </w:r>
            <w:r>
              <w:rPr>
                <w:b/>
              </w:rPr>
              <w:instrText>NUMPAGES</w:instrText>
            </w:r>
            <w:r w:rsidR="009F0C79">
              <w:rPr>
                <w:b/>
              </w:rPr>
              <w:fldChar w:fldCharType="separate"/>
            </w:r>
            <w:r w:rsidR="00547DAE">
              <w:rPr>
                <w:b/>
                <w:noProof/>
              </w:rPr>
              <w:t>8</w:t>
            </w:r>
            <w:r w:rsidR="009F0C79">
              <w:rPr>
                <w:b/>
              </w:rPr>
              <w:fldChar w:fldCharType="end"/>
            </w:r>
          </w:p>
        </w:sdtContent>
      </w:sdt>
    </w:sdtContent>
  </w:sdt>
  <w:p w:rsidR="0035353E" w:rsidRDefault="002E028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286" w:rsidRDefault="002E0286" w:rsidP="00251138">
      <w:r>
        <w:separator/>
      </w:r>
    </w:p>
  </w:footnote>
  <w:footnote w:type="continuationSeparator" w:id="1">
    <w:p w:rsidR="002E0286" w:rsidRDefault="002E0286" w:rsidP="00251138">
      <w:r>
        <w:continuationSeparator/>
      </w:r>
    </w:p>
  </w:footnote>
  <w:footnote w:id="2">
    <w:p w:rsidR="00251138" w:rsidRPr="00862836" w:rsidRDefault="00251138" w:rsidP="00251138">
      <w:pPr>
        <w:pStyle w:val="Textonotapie"/>
        <w:jc w:val="both"/>
        <w:rPr>
          <w:rFonts w:ascii="Tahoma" w:hAnsi="Tahoma" w:cs="Tahoma"/>
          <w:sz w:val="18"/>
          <w:szCs w:val="18"/>
        </w:rPr>
      </w:pPr>
      <w:r w:rsidRPr="00862836">
        <w:rPr>
          <w:rStyle w:val="Refdenotaalpie"/>
          <w:rFonts w:ascii="Tahoma" w:hAnsi="Tahoma" w:cs="Tahoma"/>
          <w:sz w:val="18"/>
          <w:szCs w:val="18"/>
        </w:rPr>
        <w:footnoteRef/>
      </w:r>
      <w:r w:rsidRPr="00862836">
        <w:rPr>
          <w:rFonts w:ascii="Tahoma" w:hAnsi="Tahoma" w:cs="Tahoma"/>
          <w:sz w:val="18"/>
          <w:szCs w:val="18"/>
        </w:rPr>
        <w:t xml:space="preserve"> </w:t>
      </w:r>
      <w:r>
        <w:rPr>
          <w:rFonts w:ascii="Tahoma" w:hAnsi="Tahoma" w:cs="Tahoma"/>
          <w:b/>
          <w:sz w:val="18"/>
          <w:szCs w:val="18"/>
        </w:rPr>
        <w:t>Artículo 10</w:t>
      </w:r>
      <w:r w:rsidRPr="00862836">
        <w:rPr>
          <w:rFonts w:ascii="Tahoma" w:hAnsi="Tahoma" w:cs="Tahoma"/>
          <w:b/>
          <w:sz w:val="18"/>
          <w:szCs w:val="18"/>
        </w:rPr>
        <w:t>.- Impedimentos para ser postor y/o contratista.</w:t>
      </w:r>
    </w:p>
    <w:p w:rsidR="00251138" w:rsidRPr="00862836" w:rsidRDefault="00251138" w:rsidP="00251138">
      <w:pPr>
        <w:pStyle w:val="Textonotapie"/>
        <w:jc w:val="both"/>
        <w:rPr>
          <w:rFonts w:ascii="Tahoma" w:hAnsi="Tahoma" w:cs="Tahoma"/>
          <w:sz w:val="18"/>
          <w:szCs w:val="18"/>
        </w:rPr>
      </w:pPr>
      <w:r w:rsidRPr="00862836">
        <w:rPr>
          <w:rFonts w:ascii="Tahoma" w:hAnsi="Tahoma" w:cs="Tahoma"/>
          <w:sz w:val="18"/>
          <w:szCs w:val="18"/>
        </w:rPr>
        <w:t>Están impedidos de ser postores y/o contratistas:</w:t>
      </w:r>
    </w:p>
    <w:p w:rsidR="00251138" w:rsidRPr="00862836" w:rsidRDefault="00251138" w:rsidP="00251138">
      <w:pPr>
        <w:pStyle w:val="Textonotapie"/>
        <w:jc w:val="both"/>
        <w:rPr>
          <w:rFonts w:ascii="Tahoma" w:hAnsi="Tahoma" w:cs="Tahoma"/>
          <w:sz w:val="18"/>
          <w:szCs w:val="18"/>
        </w:rPr>
      </w:pPr>
      <w:r w:rsidRPr="00862836">
        <w:rPr>
          <w:rFonts w:ascii="Tahoma" w:hAnsi="Tahoma" w:cs="Tahoma"/>
          <w:sz w:val="18"/>
          <w:szCs w:val="18"/>
        </w:rPr>
        <w:t>[…]</w:t>
      </w:r>
    </w:p>
    <w:p w:rsidR="00251138" w:rsidRPr="00862836" w:rsidRDefault="00251138" w:rsidP="00251138">
      <w:pPr>
        <w:pStyle w:val="Textonotapie"/>
        <w:jc w:val="both"/>
        <w:rPr>
          <w:rFonts w:ascii="Tahoma" w:hAnsi="Tahoma" w:cs="Tahoma"/>
          <w:color w:val="000000"/>
          <w:sz w:val="18"/>
          <w:szCs w:val="18"/>
        </w:rPr>
      </w:pPr>
      <w:r>
        <w:rPr>
          <w:rFonts w:ascii="Tahoma" w:hAnsi="Tahoma" w:cs="Tahoma"/>
          <w:sz w:val="18"/>
          <w:szCs w:val="18"/>
        </w:rPr>
        <w:t>j</w:t>
      </w:r>
      <w:r w:rsidRPr="00862836">
        <w:rPr>
          <w:rFonts w:ascii="Tahoma" w:hAnsi="Tahoma" w:cs="Tahoma"/>
          <w:sz w:val="18"/>
          <w:szCs w:val="18"/>
        </w:rPr>
        <w:t xml:space="preserve">) </w:t>
      </w:r>
      <w:r>
        <w:rPr>
          <w:rFonts w:ascii="Tahoma" w:hAnsi="Tahoma" w:cs="Tahoma"/>
          <w:color w:val="000000"/>
          <w:sz w:val="18"/>
          <w:szCs w:val="18"/>
        </w:rPr>
        <w:t>Las personas naturales o jurídicas que se encuentren sancionadas administrativamente con inhabilitación temporal o permanente en el ejercicio de sus derechos para participar en procesos de selección y para contratar con Entidades, de acuerdo a lo dispuesto por la presente norma y su Reglamento.</w:t>
      </w:r>
    </w:p>
    <w:p w:rsidR="00251138" w:rsidRPr="00862836" w:rsidRDefault="00251138" w:rsidP="00251138">
      <w:pPr>
        <w:pStyle w:val="Textonotapie"/>
        <w:jc w:val="both"/>
        <w:rPr>
          <w:rFonts w:ascii="Tahoma" w:hAnsi="Tahoma" w:cs="Tahoma"/>
          <w:sz w:val="18"/>
          <w:szCs w:val="18"/>
        </w:rPr>
      </w:pPr>
      <w:r w:rsidRPr="00862836">
        <w:rPr>
          <w:rFonts w:ascii="Tahoma" w:hAnsi="Tahoma" w:cs="Tahoma"/>
          <w:sz w:val="18"/>
          <w:szCs w:val="18"/>
        </w:rPr>
        <w:t>[…]</w:t>
      </w:r>
    </w:p>
    <w:p w:rsidR="00251138" w:rsidRPr="00E54A9E" w:rsidRDefault="00251138" w:rsidP="00251138">
      <w:pPr>
        <w:pStyle w:val="Textonotapie"/>
        <w:jc w:val="both"/>
        <w:rPr>
          <w:rFonts w:ascii="Tahoma" w:hAnsi="Tahoma" w:cs="Tahoma"/>
          <w:sz w:val="18"/>
          <w:szCs w:val="18"/>
        </w:rPr>
      </w:pPr>
    </w:p>
  </w:footnote>
  <w:footnote w:id="3">
    <w:p w:rsidR="00251138" w:rsidRPr="00862836" w:rsidRDefault="00251138" w:rsidP="00251138">
      <w:pPr>
        <w:pStyle w:val="Textonotapie"/>
        <w:jc w:val="both"/>
        <w:rPr>
          <w:rFonts w:ascii="Tahoma" w:hAnsi="Tahoma" w:cs="Tahoma"/>
          <w:sz w:val="18"/>
          <w:szCs w:val="18"/>
        </w:rPr>
      </w:pPr>
      <w:r w:rsidRPr="00862836">
        <w:rPr>
          <w:rStyle w:val="Refdenotaalpie"/>
          <w:rFonts w:ascii="Tahoma" w:hAnsi="Tahoma" w:cs="Tahoma"/>
          <w:sz w:val="18"/>
          <w:szCs w:val="18"/>
        </w:rPr>
        <w:footnoteRef/>
      </w:r>
      <w:r w:rsidRPr="00862836">
        <w:rPr>
          <w:rFonts w:ascii="Tahoma" w:hAnsi="Tahoma" w:cs="Tahoma"/>
          <w:sz w:val="18"/>
          <w:szCs w:val="18"/>
        </w:rPr>
        <w:t xml:space="preserve"> </w:t>
      </w:r>
      <w:r>
        <w:rPr>
          <w:rFonts w:ascii="Tahoma" w:hAnsi="Tahoma" w:cs="Tahoma"/>
          <w:b/>
          <w:sz w:val="18"/>
          <w:szCs w:val="18"/>
        </w:rPr>
        <w:t>Artículo 244</w:t>
      </w:r>
      <w:r w:rsidRPr="00862836">
        <w:rPr>
          <w:rFonts w:ascii="Tahoma" w:hAnsi="Tahoma" w:cs="Tahoma"/>
          <w:b/>
          <w:sz w:val="18"/>
          <w:szCs w:val="18"/>
        </w:rPr>
        <w:t xml:space="preserve">.- </w:t>
      </w:r>
      <w:r>
        <w:rPr>
          <w:rFonts w:ascii="Tahoma" w:hAnsi="Tahoma" w:cs="Tahoma"/>
          <w:b/>
          <w:sz w:val="18"/>
          <w:szCs w:val="18"/>
        </w:rPr>
        <w:t>Suspensión del plazo de prescripción</w:t>
      </w:r>
      <w:r w:rsidRPr="00862836">
        <w:rPr>
          <w:rFonts w:ascii="Tahoma" w:hAnsi="Tahoma" w:cs="Tahoma"/>
          <w:b/>
          <w:sz w:val="18"/>
          <w:szCs w:val="18"/>
        </w:rPr>
        <w:t>.</w:t>
      </w:r>
    </w:p>
    <w:p w:rsidR="00251138" w:rsidRPr="00862836" w:rsidRDefault="00251138" w:rsidP="00251138">
      <w:pPr>
        <w:pStyle w:val="Textonotapie"/>
        <w:jc w:val="both"/>
        <w:rPr>
          <w:rFonts w:ascii="Tahoma" w:hAnsi="Tahoma" w:cs="Tahoma"/>
          <w:sz w:val="18"/>
          <w:szCs w:val="18"/>
        </w:rPr>
      </w:pPr>
      <w:r>
        <w:rPr>
          <w:rFonts w:ascii="Tahoma" w:hAnsi="Tahoma" w:cs="Tahoma"/>
          <w:sz w:val="18"/>
          <w:szCs w:val="18"/>
        </w:rPr>
        <w:t>El plazo de prescripción se suspende en los siguientes caso:</w:t>
      </w:r>
    </w:p>
    <w:p w:rsidR="00251138" w:rsidRPr="00862836" w:rsidRDefault="00251138" w:rsidP="00251138">
      <w:pPr>
        <w:pStyle w:val="Textonotapie"/>
        <w:jc w:val="both"/>
        <w:rPr>
          <w:rFonts w:ascii="Tahoma" w:hAnsi="Tahoma" w:cs="Tahoma"/>
          <w:sz w:val="18"/>
          <w:szCs w:val="18"/>
        </w:rPr>
      </w:pPr>
      <w:r w:rsidRPr="00862836">
        <w:rPr>
          <w:rFonts w:ascii="Tahoma" w:hAnsi="Tahoma" w:cs="Tahoma"/>
          <w:sz w:val="18"/>
          <w:szCs w:val="18"/>
        </w:rPr>
        <w:t>[…]</w:t>
      </w:r>
    </w:p>
    <w:p w:rsidR="00251138" w:rsidRPr="00862836" w:rsidRDefault="00251138" w:rsidP="00251138">
      <w:pPr>
        <w:pStyle w:val="Textonotapie"/>
        <w:jc w:val="both"/>
        <w:rPr>
          <w:rFonts w:ascii="Tahoma" w:hAnsi="Tahoma" w:cs="Tahoma"/>
          <w:color w:val="000000"/>
          <w:sz w:val="18"/>
          <w:szCs w:val="18"/>
        </w:rPr>
      </w:pPr>
      <w:r>
        <w:rPr>
          <w:rFonts w:ascii="Tahoma" w:hAnsi="Tahoma" w:cs="Tahoma"/>
          <w:sz w:val="18"/>
          <w:szCs w:val="18"/>
        </w:rPr>
        <w:t>2</w:t>
      </w:r>
      <w:r>
        <w:rPr>
          <w:rFonts w:ascii="Tahoma" w:hAnsi="Tahoma" w:cs="Tahoma"/>
          <w:color w:val="000000"/>
          <w:sz w:val="18"/>
          <w:szCs w:val="18"/>
        </w:rPr>
        <w:t>. Por la tramitación del proceso judicial o arbitral que sea necesario para la determinación de la responsabilidad del proveedor, postor, contratista o experto independiente, en el respectivo procedimiento administrativo sancionador.</w:t>
      </w:r>
    </w:p>
    <w:p w:rsidR="00251138" w:rsidRPr="00862836" w:rsidRDefault="00251138" w:rsidP="00251138">
      <w:pPr>
        <w:pStyle w:val="Textonotapie"/>
        <w:jc w:val="both"/>
        <w:rPr>
          <w:rFonts w:ascii="Tahoma" w:hAnsi="Tahoma" w:cs="Tahoma"/>
          <w:sz w:val="18"/>
          <w:szCs w:val="18"/>
        </w:rPr>
      </w:pPr>
      <w:r w:rsidRPr="00862836">
        <w:rPr>
          <w:rFonts w:ascii="Tahoma" w:hAnsi="Tahoma" w:cs="Tahoma"/>
          <w:sz w:val="18"/>
          <w:szCs w:val="18"/>
        </w:rPr>
        <w:t>[…]</w:t>
      </w:r>
    </w:p>
    <w:p w:rsidR="00251138" w:rsidRPr="00E54A9E" w:rsidRDefault="00251138" w:rsidP="00251138">
      <w:pPr>
        <w:pStyle w:val="Textonotapie"/>
        <w:jc w:val="both"/>
        <w:rPr>
          <w:rFonts w:ascii="Tahoma" w:hAnsi="Tahoma" w:cs="Tahoma"/>
          <w:sz w:val="18"/>
          <w:szCs w:val="18"/>
        </w:rPr>
      </w:pPr>
    </w:p>
  </w:footnote>
  <w:footnote w:id="4">
    <w:p w:rsidR="00251138" w:rsidRPr="00572B1C" w:rsidRDefault="00251138" w:rsidP="00251138">
      <w:pPr>
        <w:autoSpaceDE w:val="0"/>
        <w:autoSpaceDN w:val="0"/>
        <w:adjustRightInd w:val="0"/>
        <w:jc w:val="both"/>
        <w:rPr>
          <w:rFonts w:ascii="Tahoma" w:hAnsi="Tahoma" w:cs="Tahoma"/>
          <w:b/>
          <w:bCs/>
          <w:sz w:val="18"/>
          <w:szCs w:val="18"/>
        </w:rPr>
      </w:pPr>
      <w:r w:rsidRPr="00572B1C">
        <w:rPr>
          <w:rStyle w:val="Refdenotaalpie"/>
          <w:rFonts w:ascii="Tahoma" w:eastAsia="Batang" w:hAnsi="Tahoma" w:cs="Tahoma"/>
          <w:sz w:val="18"/>
          <w:szCs w:val="18"/>
        </w:rPr>
        <w:footnoteRef/>
      </w:r>
      <w:r w:rsidRPr="00572B1C">
        <w:rPr>
          <w:rFonts w:ascii="Tahoma" w:hAnsi="Tahoma" w:cs="Tahoma"/>
          <w:sz w:val="18"/>
          <w:szCs w:val="18"/>
        </w:rPr>
        <w:t xml:space="preserve"> </w:t>
      </w:r>
      <w:r w:rsidRPr="00572B1C">
        <w:rPr>
          <w:rFonts w:ascii="Tahoma" w:hAnsi="Tahoma" w:cs="Tahoma"/>
          <w:b/>
          <w:bCs/>
          <w:sz w:val="18"/>
          <w:szCs w:val="18"/>
        </w:rPr>
        <w:t>Artículo 245.- Determinación gradual de la Sanción</w:t>
      </w:r>
    </w:p>
    <w:p w:rsidR="00251138" w:rsidRPr="00572B1C" w:rsidRDefault="00251138" w:rsidP="00251138">
      <w:pPr>
        <w:autoSpaceDE w:val="0"/>
        <w:autoSpaceDN w:val="0"/>
        <w:adjustRightInd w:val="0"/>
        <w:jc w:val="both"/>
        <w:rPr>
          <w:rFonts w:ascii="Tahoma" w:hAnsi="Tahoma" w:cs="Tahoma"/>
          <w:sz w:val="18"/>
          <w:szCs w:val="18"/>
        </w:rPr>
      </w:pPr>
      <w:r w:rsidRPr="00572B1C">
        <w:rPr>
          <w:rFonts w:ascii="Tahoma" w:hAnsi="Tahoma" w:cs="Tahoma"/>
          <w:sz w:val="18"/>
          <w:szCs w:val="18"/>
        </w:rPr>
        <w:t>Para graduar la sanción a imponerse conforme a las disposiciones del presente Título, se considerarán los siguientes criterios:</w:t>
      </w:r>
    </w:p>
    <w:p w:rsidR="00251138" w:rsidRPr="00572B1C" w:rsidRDefault="00251138" w:rsidP="00251138">
      <w:pPr>
        <w:autoSpaceDE w:val="0"/>
        <w:autoSpaceDN w:val="0"/>
        <w:adjustRightInd w:val="0"/>
        <w:jc w:val="both"/>
        <w:rPr>
          <w:rFonts w:ascii="Tahoma" w:hAnsi="Tahoma" w:cs="Tahoma"/>
          <w:sz w:val="18"/>
          <w:szCs w:val="18"/>
        </w:rPr>
      </w:pPr>
    </w:p>
    <w:p w:rsidR="00251138" w:rsidRPr="00572B1C" w:rsidRDefault="00251138" w:rsidP="00251138">
      <w:pPr>
        <w:autoSpaceDE w:val="0"/>
        <w:autoSpaceDN w:val="0"/>
        <w:adjustRightInd w:val="0"/>
        <w:jc w:val="both"/>
        <w:rPr>
          <w:rFonts w:ascii="Tahoma" w:hAnsi="Tahoma" w:cs="Tahoma"/>
          <w:sz w:val="18"/>
          <w:szCs w:val="18"/>
        </w:rPr>
      </w:pPr>
      <w:r w:rsidRPr="00572B1C">
        <w:rPr>
          <w:rFonts w:ascii="Tahoma" w:hAnsi="Tahoma" w:cs="Tahoma"/>
          <w:sz w:val="18"/>
          <w:szCs w:val="18"/>
        </w:rPr>
        <w:t>1) Naturaleza de la infracción.</w:t>
      </w:r>
    </w:p>
    <w:p w:rsidR="00251138" w:rsidRPr="00572B1C" w:rsidRDefault="00251138" w:rsidP="00251138">
      <w:pPr>
        <w:autoSpaceDE w:val="0"/>
        <w:autoSpaceDN w:val="0"/>
        <w:adjustRightInd w:val="0"/>
        <w:jc w:val="both"/>
        <w:rPr>
          <w:rFonts w:ascii="Tahoma" w:hAnsi="Tahoma" w:cs="Tahoma"/>
          <w:sz w:val="18"/>
          <w:szCs w:val="18"/>
        </w:rPr>
      </w:pPr>
      <w:r w:rsidRPr="00572B1C">
        <w:rPr>
          <w:rFonts w:ascii="Tahoma" w:hAnsi="Tahoma" w:cs="Tahoma"/>
          <w:sz w:val="18"/>
          <w:szCs w:val="18"/>
        </w:rPr>
        <w:t>2) Intencionalidad del infractor.</w:t>
      </w:r>
    </w:p>
    <w:p w:rsidR="00251138" w:rsidRPr="00572B1C" w:rsidRDefault="00251138" w:rsidP="00251138">
      <w:pPr>
        <w:autoSpaceDE w:val="0"/>
        <w:autoSpaceDN w:val="0"/>
        <w:adjustRightInd w:val="0"/>
        <w:jc w:val="both"/>
        <w:rPr>
          <w:rFonts w:ascii="Tahoma" w:hAnsi="Tahoma" w:cs="Tahoma"/>
          <w:sz w:val="18"/>
          <w:szCs w:val="18"/>
        </w:rPr>
      </w:pPr>
      <w:r w:rsidRPr="00572B1C">
        <w:rPr>
          <w:rFonts w:ascii="Tahoma" w:hAnsi="Tahoma" w:cs="Tahoma"/>
          <w:sz w:val="18"/>
          <w:szCs w:val="18"/>
        </w:rPr>
        <w:t>3) Daño causado.</w:t>
      </w:r>
    </w:p>
    <w:p w:rsidR="00251138" w:rsidRPr="00572B1C" w:rsidRDefault="00251138" w:rsidP="00251138">
      <w:pPr>
        <w:autoSpaceDE w:val="0"/>
        <w:autoSpaceDN w:val="0"/>
        <w:adjustRightInd w:val="0"/>
        <w:jc w:val="both"/>
        <w:rPr>
          <w:rFonts w:ascii="Tahoma" w:hAnsi="Tahoma" w:cs="Tahoma"/>
          <w:sz w:val="18"/>
          <w:szCs w:val="18"/>
        </w:rPr>
      </w:pPr>
      <w:r w:rsidRPr="00572B1C">
        <w:rPr>
          <w:rFonts w:ascii="Tahoma" w:hAnsi="Tahoma" w:cs="Tahoma"/>
          <w:sz w:val="18"/>
          <w:szCs w:val="18"/>
        </w:rPr>
        <w:t>4) Reiterancia.</w:t>
      </w:r>
    </w:p>
    <w:p w:rsidR="00251138" w:rsidRPr="00572B1C" w:rsidRDefault="00251138" w:rsidP="00251138">
      <w:pPr>
        <w:autoSpaceDE w:val="0"/>
        <w:autoSpaceDN w:val="0"/>
        <w:adjustRightInd w:val="0"/>
        <w:jc w:val="both"/>
        <w:rPr>
          <w:rFonts w:ascii="Tahoma" w:hAnsi="Tahoma" w:cs="Tahoma"/>
          <w:sz w:val="18"/>
          <w:szCs w:val="18"/>
        </w:rPr>
      </w:pPr>
      <w:r w:rsidRPr="00572B1C">
        <w:rPr>
          <w:rFonts w:ascii="Tahoma" w:hAnsi="Tahoma" w:cs="Tahoma"/>
          <w:sz w:val="18"/>
          <w:szCs w:val="18"/>
        </w:rPr>
        <w:t>5) El reconocimiento de la infracción cometida antes de que sea detectada.</w:t>
      </w:r>
    </w:p>
    <w:p w:rsidR="00251138" w:rsidRPr="00572B1C" w:rsidRDefault="00251138" w:rsidP="00251138">
      <w:pPr>
        <w:autoSpaceDE w:val="0"/>
        <w:autoSpaceDN w:val="0"/>
        <w:adjustRightInd w:val="0"/>
        <w:jc w:val="both"/>
        <w:rPr>
          <w:rFonts w:ascii="Tahoma" w:hAnsi="Tahoma" w:cs="Tahoma"/>
          <w:sz w:val="18"/>
          <w:szCs w:val="18"/>
        </w:rPr>
      </w:pPr>
      <w:r w:rsidRPr="00572B1C">
        <w:rPr>
          <w:rFonts w:ascii="Tahoma" w:hAnsi="Tahoma" w:cs="Tahoma"/>
          <w:sz w:val="18"/>
          <w:szCs w:val="18"/>
        </w:rPr>
        <w:t>6) Circunstancias de tiempo, lugar y modo.</w:t>
      </w:r>
    </w:p>
    <w:p w:rsidR="00251138" w:rsidRPr="00572B1C" w:rsidRDefault="00251138" w:rsidP="00251138">
      <w:pPr>
        <w:autoSpaceDE w:val="0"/>
        <w:autoSpaceDN w:val="0"/>
        <w:adjustRightInd w:val="0"/>
        <w:jc w:val="both"/>
        <w:rPr>
          <w:rFonts w:ascii="Tahoma" w:hAnsi="Tahoma" w:cs="Tahoma"/>
          <w:sz w:val="18"/>
          <w:szCs w:val="18"/>
        </w:rPr>
      </w:pPr>
      <w:r w:rsidRPr="00572B1C">
        <w:rPr>
          <w:rFonts w:ascii="Tahoma" w:hAnsi="Tahoma" w:cs="Tahoma"/>
          <w:sz w:val="18"/>
          <w:szCs w:val="18"/>
        </w:rPr>
        <w:t>7) Condiciones del infractor.</w:t>
      </w:r>
    </w:p>
    <w:p w:rsidR="00251138" w:rsidRPr="00572B1C" w:rsidRDefault="00251138" w:rsidP="00251138">
      <w:pPr>
        <w:autoSpaceDE w:val="0"/>
        <w:autoSpaceDN w:val="0"/>
        <w:adjustRightInd w:val="0"/>
        <w:jc w:val="both"/>
        <w:rPr>
          <w:rFonts w:ascii="Tahoma" w:hAnsi="Tahoma" w:cs="Tahoma"/>
          <w:sz w:val="18"/>
          <w:szCs w:val="18"/>
        </w:rPr>
      </w:pPr>
      <w:r w:rsidRPr="00572B1C">
        <w:rPr>
          <w:rFonts w:ascii="Tahoma" w:hAnsi="Tahoma" w:cs="Tahoma"/>
          <w:sz w:val="18"/>
          <w:szCs w:val="18"/>
        </w:rPr>
        <w:t>8) Conducta procesal del infractor.</w:t>
      </w:r>
    </w:p>
    <w:p w:rsidR="00251138" w:rsidRPr="00572B1C" w:rsidRDefault="00251138" w:rsidP="00251138">
      <w:pPr>
        <w:pStyle w:val="Textonotapie"/>
        <w:rPr>
          <w:rFonts w:ascii="Tahoma" w:hAnsi="Tahoma" w:cs="Tahoma"/>
          <w:sz w:val="18"/>
          <w:szCs w:val="18"/>
        </w:rPr>
      </w:pPr>
    </w:p>
  </w:footnote>
  <w:footnote w:id="5">
    <w:p w:rsidR="00251138" w:rsidRPr="00572B1C" w:rsidRDefault="00251138" w:rsidP="00251138">
      <w:pPr>
        <w:pStyle w:val="Textonotapie"/>
        <w:tabs>
          <w:tab w:val="left" w:pos="360"/>
        </w:tabs>
        <w:ind w:left="360" w:hanging="360"/>
        <w:rPr>
          <w:rFonts w:ascii="Tahoma" w:hAnsi="Tahoma" w:cs="Tahoma"/>
          <w:sz w:val="18"/>
          <w:szCs w:val="18"/>
        </w:rPr>
      </w:pPr>
      <w:r w:rsidRPr="00572B1C">
        <w:rPr>
          <w:rStyle w:val="Refdenotaalpie"/>
          <w:rFonts w:ascii="Tahoma" w:hAnsi="Tahoma" w:cs="Tahoma"/>
          <w:sz w:val="18"/>
          <w:szCs w:val="18"/>
        </w:rPr>
        <w:footnoteRef/>
      </w:r>
      <w:r w:rsidRPr="00572B1C">
        <w:rPr>
          <w:rFonts w:ascii="Tahoma" w:hAnsi="Tahoma" w:cs="Tahoma"/>
          <w:sz w:val="18"/>
          <w:szCs w:val="18"/>
        </w:rPr>
        <w:t xml:space="preserve"> </w:t>
      </w:r>
      <w:r w:rsidRPr="00572B1C">
        <w:rPr>
          <w:rFonts w:ascii="Tahoma" w:hAnsi="Tahoma" w:cs="Tahoma"/>
          <w:b/>
          <w:sz w:val="18"/>
          <w:szCs w:val="18"/>
        </w:rPr>
        <w:t>Artículo 230.-</w:t>
      </w:r>
      <w:r w:rsidRPr="00572B1C">
        <w:rPr>
          <w:rFonts w:ascii="Tahoma" w:hAnsi="Tahoma" w:cs="Tahoma"/>
          <w:sz w:val="18"/>
          <w:szCs w:val="18"/>
        </w:rPr>
        <w:t xml:space="preserve"> </w:t>
      </w:r>
      <w:r w:rsidRPr="00572B1C">
        <w:rPr>
          <w:rFonts w:ascii="Tahoma" w:hAnsi="Tahoma" w:cs="Tahoma"/>
          <w:b/>
          <w:sz w:val="18"/>
          <w:szCs w:val="18"/>
        </w:rPr>
        <w:t>Principios de la potestad sancionadora</w:t>
      </w:r>
    </w:p>
    <w:p w:rsidR="00251138" w:rsidRPr="00572B1C" w:rsidRDefault="00251138" w:rsidP="00251138">
      <w:pPr>
        <w:pStyle w:val="Textonotapie"/>
        <w:tabs>
          <w:tab w:val="left" w:pos="0"/>
        </w:tabs>
        <w:rPr>
          <w:rFonts w:ascii="Tahoma" w:hAnsi="Tahoma" w:cs="Tahoma"/>
          <w:sz w:val="18"/>
          <w:szCs w:val="18"/>
        </w:rPr>
      </w:pPr>
      <w:r w:rsidRPr="00572B1C">
        <w:rPr>
          <w:rFonts w:ascii="Tahoma" w:hAnsi="Tahoma" w:cs="Tahoma"/>
          <w:sz w:val="18"/>
          <w:szCs w:val="18"/>
        </w:rPr>
        <w:t xml:space="preserve">    […]</w:t>
      </w:r>
    </w:p>
    <w:p w:rsidR="00251138" w:rsidRPr="00C07779" w:rsidRDefault="00251138" w:rsidP="00251138">
      <w:pPr>
        <w:pStyle w:val="Textonotapie"/>
        <w:tabs>
          <w:tab w:val="left" w:pos="180"/>
        </w:tabs>
        <w:ind w:left="180"/>
        <w:rPr>
          <w:sz w:val="18"/>
          <w:szCs w:val="18"/>
        </w:rPr>
      </w:pPr>
      <w:r w:rsidRPr="00A5101A">
        <w:rPr>
          <w:rFonts w:cs="Tahoma"/>
          <w:sz w:val="16"/>
          <w:szCs w:val="16"/>
        </w:rPr>
        <w:t>3. Razonabilidad.-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DAE" w:rsidRDefault="00547DAE" w:rsidP="00547DAE">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47DAE" w:rsidRDefault="00547DAE" w:rsidP="00547DAE">
    <w:pPr>
      <w:pStyle w:val="Encabezado"/>
      <w:rPr>
        <w:noProof/>
      </w:rPr>
    </w:pPr>
  </w:p>
  <w:p w:rsidR="00547DAE" w:rsidRDefault="00547DAE" w:rsidP="00547DAE">
    <w:pPr>
      <w:pStyle w:val="Encabezado"/>
      <w:rPr>
        <w:noProof/>
      </w:rPr>
    </w:pPr>
  </w:p>
  <w:p w:rsidR="00547DAE" w:rsidRDefault="00547DAE" w:rsidP="00547DAE">
    <w:pPr>
      <w:pStyle w:val="Encabezado"/>
      <w:rPr>
        <w:noProof/>
      </w:rPr>
    </w:pPr>
  </w:p>
  <w:p w:rsidR="00547DAE" w:rsidRDefault="00547DAE" w:rsidP="00547DAE">
    <w:pPr>
      <w:pStyle w:val="Encabezado"/>
      <w:jc w:val="center"/>
    </w:pPr>
    <w:r>
      <w:rPr>
        <w:rFonts w:ascii="Monotype Corsiva" w:hAnsi="Monotype Corsiva"/>
        <w:b/>
        <w:sz w:val="44"/>
        <w:szCs w:val="44"/>
      </w:rPr>
      <w:t xml:space="preserve">Resolución Nº   </w:t>
    </w:r>
    <w:r>
      <w:rPr>
        <w:rFonts w:ascii="Tahoma" w:hAnsi="Tahoma" w:cs="Tahoma"/>
        <w:b/>
        <w:sz w:val="44"/>
        <w:szCs w:val="44"/>
      </w:rPr>
      <w:t>845-2011-TC-S1</w:t>
    </w:r>
  </w:p>
  <w:p w:rsidR="00547DAE" w:rsidRDefault="00547DA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C28CF420"/>
    <w:lvl w:ilvl="0" w:tplc="C348450E">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2">
    <w:nsid w:val="232456E8"/>
    <w:multiLevelType w:val="hybridMultilevel"/>
    <w:tmpl w:val="981AC1CC"/>
    <w:lvl w:ilvl="0" w:tplc="4B0A20F0">
      <w:start w:val="1"/>
      <w:numFmt w:val="decimal"/>
      <w:lvlText w:val="%1."/>
      <w:lvlJc w:val="left"/>
      <w:pPr>
        <w:ind w:left="360" w:hanging="360"/>
      </w:pPr>
      <w:rPr>
        <w:rFonts w:hint="default"/>
        <w:b/>
        <w:sz w:val="20"/>
        <w:szCs w:val="2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23885A7A"/>
    <w:multiLevelType w:val="hybridMultilevel"/>
    <w:tmpl w:val="744263CE"/>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AF82561"/>
    <w:multiLevelType w:val="hybridMultilevel"/>
    <w:tmpl w:val="1498897C"/>
    <w:lvl w:ilvl="0" w:tplc="45262CF4">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5">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F666219"/>
    <w:multiLevelType w:val="hybridMultilevel"/>
    <w:tmpl w:val="3B5C869E"/>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8">
    <w:nsid w:val="79836EF7"/>
    <w:multiLevelType w:val="hybridMultilevel"/>
    <w:tmpl w:val="B8C852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8"/>
  </w:num>
  <w:num w:numId="5">
    <w:abstractNumId w:val="3"/>
  </w:num>
  <w:num w:numId="6">
    <w:abstractNumId w:val="7"/>
  </w:num>
  <w:num w:numId="7">
    <w:abstractNumId w:val="1"/>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251138"/>
    <w:rsid w:val="00112D41"/>
    <w:rsid w:val="00196655"/>
    <w:rsid w:val="001C1043"/>
    <w:rsid w:val="00251138"/>
    <w:rsid w:val="002E0286"/>
    <w:rsid w:val="003F2814"/>
    <w:rsid w:val="00496AD0"/>
    <w:rsid w:val="00547DAE"/>
    <w:rsid w:val="007E4523"/>
    <w:rsid w:val="009F0C79"/>
    <w:rsid w:val="00AF6CA0"/>
    <w:rsid w:val="00B92B6D"/>
    <w:rsid w:val="00C906BF"/>
    <w:rsid w:val="00DB3423"/>
    <w:rsid w:val="00E1012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138"/>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251138"/>
    <w:pPr>
      <w:spacing w:after="120"/>
    </w:pPr>
    <w:rPr>
      <w:sz w:val="16"/>
      <w:szCs w:val="16"/>
      <w:lang w:val="es-PE"/>
    </w:rPr>
  </w:style>
  <w:style w:type="character" w:customStyle="1" w:styleId="Textoindependiente3Car">
    <w:name w:val="Texto independiente 3 Car"/>
    <w:basedOn w:val="Fuentedeprrafopredeter"/>
    <w:link w:val="Textoindependiente3"/>
    <w:rsid w:val="00251138"/>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251138"/>
    <w:pPr>
      <w:jc w:val="both"/>
    </w:pPr>
    <w:rPr>
      <w:rFonts w:ascii="Tahoma" w:hAnsi="Tahoma"/>
      <w:sz w:val="22"/>
      <w:szCs w:val="20"/>
    </w:rPr>
  </w:style>
  <w:style w:type="paragraph" w:styleId="Prrafodelista">
    <w:name w:val="List Paragraph"/>
    <w:basedOn w:val="Normal"/>
    <w:uiPriority w:val="34"/>
    <w:qFormat/>
    <w:rsid w:val="00251138"/>
    <w:pPr>
      <w:widowControl w:val="0"/>
      <w:suppressAutoHyphens/>
      <w:ind w:left="708"/>
    </w:pPr>
    <w:rPr>
      <w:szCs w:val="20"/>
      <w:lang w:val="es-ES_tradnl"/>
    </w:rPr>
  </w:style>
  <w:style w:type="paragraph" w:styleId="Piedepgina">
    <w:name w:val="footer"/>
    <w:basedOn w:val="Normal"/>
    <w:link w:val="PiedepginaCar"/>
    <w:uiPriority w:val="99"/>
    <w:unhideWhenUsed/>
    <w:rsid w:val="00251138"/>
    <w:pPr>
      <w:tabs>
        <w:tab w:val="center" w:pos="4252"/>
        <w:tab w:val="right" w:pos="8504"/>
      </w:tabs>
    </w:pPr>
  </w:style>
  <w:style w:type="character" w:customStyle="1" w:styleId="PiedepginaCar">
    <w:name w:val="Pie de página Car"/>
    <w:basedOn w:val="Fuentedeprrafopredeter"/>
    <w:link w:val="Piedepgina"/>
    <w:uiPriority w:val="99"/>
    <w:rsid w:val="00251138"/>
    <w:rPr>
      <w:rFonts w:ascii="Times New Roman" w:eastAsia="Times New Roman" w:hAnsi="Times New Roman" w:cs="Times New Roman"/>
      <w:sz w:val="24"/>
      <w:szCs w:val="24"/>
      <w:lang w:eastAsia="es-ES"/>
    </w:rPr>
  </w:style>
  <w:style w:type="character" w:styleId="Refdenotaalpie">
    <w:name w:val="footnote reference"/>
    <w:basedOn w:val="Fuentedeprrafopredeter"/>
    <w:rsid w:val="00251138"/>
    <w:rPr>
      <w:rFonts w:cs="Times New Roman"/>
      <w:vertAlign w:val="superscript"/>
    </w:rPr>
  </w:style>
  <w:style w:type="paragraph" w:customStyle="1" w:styleId="p1">
    <w:name w:val="p1"/>
    <w:basedOn w:val="Normal"/>
    <w:rsid w:val="00251138"/>
    <w:pPr>
      <w:widowControl w:val="0"/>
      <w:tabs>
        <w:tab w:val="left" w:pos="16640"/>
      </w:tabs>
      <w:suppressAutoHyphens/>
      <w:spacing w:line="240" w:lineRule="atLeast"/>
      <w:ind w:left="7600"/>
      <w:jc w:val="both"/>
    </w:pPr>
    <w:rPr>
      <w:rFonts w:ascii="Times" w:hAnsi="Times"/>
      <w:szCs w:val="20"/>
      <w:lang w:eastAsia="ar-SA"/>
    </w:rPr>
  </w:style>
  <w:style w:type="paragraph" w:styleId="Lista3">
    <w:name w:val="List 3"/>
    <w:basedOn w:val="Normal"/>
    <w:uiPriority w:val="99"/>
    <w:unhideWhenUsed/>
    <w:rsid w:val="00251138"/>
    <w:pPr>
      <w:spacing w:after="200" w:line="276" w:lineRule="auto"/>
      <w:ind w:left="849" w:hanging="283"/>
      <w:contextualSpacing/>
    </w:pPr>
    <w:rPr>
      <w:rFonts w:ascii="Calibri" w:eastAsia="Calibri" w:hAnsi="Calibri"/>
      <w:sz w:val="22"/>
      <w:szCs w:val="22"/>
      <w:lang w:eastAsia="en-US"/>
    </w:rPr>
  </w:style>
  <w:style w:type="paragraph" w:styleId="Sinespaciado">
    <w:name w:val="No Spacing"/>
    <w:uiPriority w:val="1"/>
    <w:qFormat/>
    <w:rsid w:val="00251138"/>
    <w:pPr>
      <w:spacing w:after="0" w:line="240" w:lineRule="auto"/>
    </w:pPr>
    <w:rPr>
      <w:rFonts w:ascii="Calibri" w:eastAsia="Times New Roman" w:hAnsi="Calibri" w:cs="Times New Roman"/>
      <w:lang w:eastAsia="es-ES"/>
    </w:rPr>
  </w:style>
  <w:style w:type="paragraph" w:styleId="Textonotapie">
    <w:name w:val="footnote text"/>
    <w:aliases w:val="Car,Car Car Car,Car4,Texto nota pie1,Texto independiente1, Car, Car4,Body Text, Car2 Car Car Car Car Car, Car2 Car, Car2, Car1 Car, Car2 Car1 Car, Car Car Car, Car1,Car1 Car Car,Car1 Car,Car Car Car Car Car,Texto independiente2"/>
    <w:basedOn w:val="Normal"/>
    <w:link w:val="TextonotapieCar"/>
    <w:rsid w:val="00251138"/>
    <w:rPr>
      <w:rFonts w:eastAsia="Batang"/>
      <w:sz w:val="20"/>
      <w:szCs w:val="20"/>
      <w:lang w:eastAsia="es-PE"/>
    </w:rPr>
  </w:style>
  <w:style w:type="character" w:customStyle="1" w:styleId="TextonotapieCar">
    <w:name w:val="Texto nota pie Car"/>
    <w:aliases w:val="Car Car,Car Car Car Car,Car4 Car,Texto nota pie1 Car,Texto independiente1 Car, Car Car, Car4 Car,Body Text Car, Car2 Car Car Car Car Car Car, Car2 Car Car, Car2 Car1, Car1 Car Car, Car2 Car1 Car Car, Car Car Car Car, Car1 Car1"/>
    <w:basedOn w:val="Fuentedeprrafopredeter"/>
    <w:link w:val="Textonotapie"/>
    <w:rsid w:val="00251138"/>
    <w:rPr>
      <w:rFonts w:ascii="Times New Roman" w:eastAsia="Batang" w:hAnsi="Times New Roman" w:cs="Times New Roman"/>
      <w:sz w:val="20"/>
      <w:szCs w:val="20"/>
      <w:lang w:eastAsia="es-PE"/>
    </w:rPr>
  </w:style>
  <w:style w:type="table" w:styleId="Tablaconcuadrcula">
    <w:name w:val="Table Grid"/>
    <w:basedOn w:val="Tablanormal"/>
    <w:uiPriority w:val="59"/>
    <w:rsid w:val="002511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angradetextonormal">
    <w:name w:val="Body Text Indent"/>
    <w:basedOn w:val="Normal"/>
    <w:link w:val="SangradetextonormalCar"/>
    <w:uiPriority w:val="99"/>
    <w:rsid w:val="00251138"/>
    <w:pPr>
      <w:spacing w:after="120"/>
      <w:ind w:left="283"/>
    </w:pPr>
  </w:style>
  <w:style w:type="character" w:customStyle="1" w:styleId="SangradetextonormalCar">
    <w:name w:val="Sangría de texto normal Car"/>
    <w:basedOn w:val="Fuentedeprrafopredeter"/>
    <w:link w:val="Sangradetextonormal"/>
    <w:uiPriority w:val="99"/>
    <w:rsid w:val="00251138"/>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251138"/>
    <w:pPr>
      <w:spacing w:after="120"/>
    </w:pPr>
  </w:style>
  <w:style w:type="character" w:customStyle="1" w:styleId="TextoindependienteCar">
    <w:name w:val="Texto independiente Car"/>
    <w:basedOn w:val="Fuentedeprrafopredeter"/>
    <w:link w:val="Textoindependiente"/>
    <w:uiPriority w:val="99"/>
    <w:rsid w:val="00251138"/>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547DAE"/>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547DAE"/>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31210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2612</Words>
  <Characters>14368</Characters>
  <Application>Microsoft Office Word</Application>
  <DocSecurity>0</DocSecurity>
  <Lines>119</Lines>
  <Paragraphs>33</Paragraphs>
  <ScaleCrop>false</ScaleCrop>
  <Company/>
  <LinksUpToDate>false</LinksUpToDate>
  <CharactersWithSpaces>16947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7</cp:revision>
  <cp:lastPrinted>2011-05-19T17:07:00Z</cp:lastPrinted>
  <dcterms:created xsi:type="dcterms:W3CDTF">2011-05-18T20:09:00Z</dcterms:created>
  <dcterms:modified xsi:type="dcterms:W3CDTF">2011-06-17T15:01:00Z</dcterms:modified>
</cp:coreProperties>
</file>